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B189D" w14:textId="77777777" w:rsidR="00B34806" w:rsidRPr="00944E5B" w:rsidRDefault="00B34806" w:rsidP="00007E51">
      <w:pPr>
        <w:rPr>
          <w:color w:val="007DB1" w:themeColor="background1"/>
        </w:rPr>
      </w:pPr>
    </w:p>
    <w:p w14:paraId="29FBF73C" w14:textId="77777777" w:rsidR="00B34806" w:rsidRPr="00944E5B" w:rsidRDefault="00B34806" w:rsidP="00007E51">
      <w:pPr>
        <w:rPr>
          <w:color w:val="007DB1" w:themeColor="background1"/>
        </w:rPr>
      </w:pPr>
    </w:p>
    <w:p w14:paraId="4248751D" w14:textId="77777777" w:rsidR="00B34806" w:rsidRPr="00944E5B" w:rsidRDefault="00B34806" w:rsidP="00007E51">
      <w:pPr>
        <w:rPr>
          <w:color w:val="007DB1" w:themeColor="background1"/>
        </w:rPr>
      </w:pPr>
    </w:p>
    <w:p w14:paraId="70C1BBD7" w14:textId="77777777" w:rsidR="00B34806" w:rsidRPr="00944E5B" w:rsidRDefault="00B34806" w:rsidP="00007E51">
      <w:pPr>
        <w:rPr>
          <w:color w:val="007DB1" w:themeColor="background1"/>
        </w:rPr>
      </w:pPr>
    </w:p>
    <w:p w14:paraId="53500CEF" w14:textId="77777777" w:rsidR="00B34806" w:rsidRPr="00944E5B" w:rsidRDefault="00B34806" w:rsidP="00007E51">
      <w:pPr>
        <w:rPr>
          <w:color w:val="007DB1" w:themeColor="background1"/>
        </w:rPr>
      </w:pPr>
    </w:p>
    <w:p w14:paraId="410D00F8" w14:textId="77777777" w:rsidR="00B34806" w:rsidRDefault="00B34806" w:rsidP="00007E51">
      <w:pPr>
        <w:rPr>
          <w:color w:val="007DB1" w:themeColor="background1"/>
        </w:rPr>
      </w:pPr>
    </w:p>
    <w:p w14:paraId="2AEB0343" w14:textId="77777777" w:rsidR="00944E5B" w:rsidRPr="00944E5B" w:rsidRDefault="00944E5B" w:rsidP="00007E51">
      <w:pPr>
        <w:rPr>
          <w:color w:val="007DB1" w:themeColor="background1"/>
        </w:rPr>
      </w:pPr>
    </w:p>
    <w:p w14:paraId="14E8DAAA" w14:textId="77777777" w:rsidR="00B34806" w:rsidRPr="003A69C2" w:rsidRDefault="00C00040" w:rsidP="003A69C2">
      <w:pPr>
        <w:ind w:right="848"/>
        <w:jc w:val="center"/>
        <w:rPr>
          <w:rFonts w:ascii="DIN Pro Regular" w:hAnsi="DIN Pro Regular" w:cs="DIN Pro Regular"/>
          <w:color w:val="717073" w:themeColor="text1"/>
          <w:sz w:val="38"/>
          <w:szCs w:val="36"/>
        </w:rPr>
      </w:pPr>
      <w:r w:rsidRPr="003A69C2">
        <w:rPr>
          <w:rFonts w:ascii="DIN Pro Regular" w:hAnsi="DIN Pro Regular" w:cs="DIN Pro Regular"/>
          <w:color w:val="717073" w:themeColor="text1"/>
          <w:sz w:val="38"/>
          <w:szCs w:val="36"/>
        </w:rPr>
        <w:t xml:space="preserve">INFORME </w:t>
      </w:r>
      <w:r w:rsidR="00EB65FA" w:rsidRPr="003A69C2">
        <w:rPr>
          <w:rFonts w:ascii="DIN Pro Regular" w:hAnsi="DIN Pro Regular" w:cs="DIN Pro Regular"/>
          <w:color w:val="717073" w:themeColor="text1"/>
          <w:sz w:val="38"/>
          <w:szCs w:val="36"/>
        </w:rPr>
        <w:t>A</w:t>
      </w:r>
      <w:bookmarkStart w:id="0" w:name="_GoBack"/>
      <w:bookmarkEnd w:id="0"/>
      <w:r w:rsidR="00EB65FA" w:rsidRPr="003A69C2">
        <w:rPr>
          <w:rFonts w:ascii="DIN Pro Regular" w:hAnsi="DIN Pro Regular" w:cs="DIN Pro Regular"/>
          <w:color w:val="717073" w:themeColor="text1"/>
          <w:sz w:val="38"/>
          <w:szCs w:val="36"/>
        </w:rPr>
        <w:t>NUAL DE CUMPLIMIENTOS</w:t>
      </w:r>
    </w:p>
    <w:p w14:paraId="44195D83" w14:textId="77777777" w:rsidR="00EB65FA" w:rsidRPr="003A69C2" w:rsidRDefault="003A69C2" w:rsidP="003A69C2">
      <w:pPr>
        <w:ind w:right="848"/>
        <w:jc w:val="center"/>
        <w:rPr>
          <w:rFonts w:ascii="DIN Pro Regular" w:hAnsi="DIN Pro Regular" w:cs="DIN Pro Regular"/>
          <w:color w:val="717073" w:themeColor="text1"/>
          <w:sz w:val="36"/>
          <w:szCs w:val="36"/>
        </w:rPr>
      </w:pPr>
      <w:r w:rsidRPr="003A69C2">
        <w:rPr>
          <w:rFonts w:ascii="DIN Pro Regular" w:hAnsi="DIN Pro Regular" w:cs="DIN Pro Regular"/>
          <w:color w:val="717073" w:themeColor="text1"/>
          <w:sz w:val="30"/>
          <w:szCs w:val="36"/>
        </w:rPr>
        <w:t>Artículo 1-14</w:t>
      </w:r>
      <w:r>
        <w:rPr>
          <w:rFonts w:ascii="DIN Pro Regular" w:hAnsi="DIN Pro Regular" w:cs="DIN Pro Regular"/>
          <w:color w:val="717073" w:themeColor="text1"/>
          <w:sz w:val="30"/>
          <w:szCs w:val="36"/>
        </w:rPr>
        <w:t>,</w:t>
      </w:r>
      <w:r w:rsidRPr="003A69C2">
        <w:rPr>
          <w:rFonts w:ascii="DIN Pro Regular" w:hAnsi="DIN Pro Regular" w:cs="DIN Pro Regular"/>
          <w:color w:val="717073" w:themeColor="text1"/>
          <w:sz w:val="30"/>
          <w:szCs w:val="36"/>
        </w:rPr>
        <w:t xml:space="preserve"> Norma Técnica de Seguridad y Calidad de Servicio</w:t>
      </w:r>
    </w:p>
    <w:p w14:paraId="1C253572" w14:textId="77777777" w:rsidR="00EB65FA" w:rsidRPr="003A69C2" w:rsidRDefault="00EB65FA" w:rsidP="003A69C2">
      <w:pPr>
        <w:rPr>
          <w:sz w:val="20"/>
        </w:rPr>
      </w:pPr>
    </w:p>
    <w:p w14:paraId="5A801B7F" w14:textId="77777777" w:rsidR="00AC2A99" w:rsidRPr="003A69C2" w:rsidRDefault="00AC2A99" w:rsidP="003A69C2">
      <w:pPr>
        <w:rPr>
          <w:sz w:val="20"/>
        </w:rPr>
      </w:pPr>
    </w:p>
    <w:p w14:paraId="0CB30183" w14:textId="77777777" w:rsidR="00C0119F" w:rsidRDefault="00C0119F" w:rsidP="003A69C2">
      <w:pPr>
        <w:ind w:right="848"/>
        <w:jc w:val="center"/>
        <w:rPr>
          <w:sz w:val="24"/>
        </w:rPr>
      </w:pPr>
    </w:p>
    <w:p w14:paraId="7B68D931" w14:textId="690F5815" w:rsidR="00ED273D" w:rsidRPr="00AB61FB" w:rsidRDefault="00EB65FA" w:rsidP="003A69C2">
      <w:pPr>
        <w:ind w:right="848"/>
        <w:jc w:val="center"/>
        <w:rPr>
          <w:sz w:val="36"/>
        </w:rPr>
      </w:pPr>
      <w:r w:rsidRPr="003A69C2">
        <w:rPr>
          <w:sz w:val="24"/>
        </w:rPr>
        <w:t>20</w:t>
      </w:r>
      <w:r w:rsidR="0058200B">
        <w:rPr>
          <w:sz w:val="24"/>
        </w:rPr>
        <w:t>20</w:t>
      </w:r>
      <w:r w:rsidR="00B34806" w:rsidRPr="00944E5B">
        <w:rPr>
          <w:color w:val="007DB1" w:themeColor="background1"/>
          <w:sz w:val="20"/>
        </w:rPr>
        <w:br w:type="page"/>
      </w:r>
    </w:p>
    <w:p w14:paraId="00612CB5" w14:textId="77777777" w:rsidR="00ED273D" w:rsidRPr="00AB61FB" w:rsidRDefault="00EE4FCC" w:rsidP="00ED273D">
      <w:pPr>
        <w:pBdr>
          <w:bottom w:val="single" w:sz="6" w:space="1" w:color="auto"/>
        </w:pBdr>
        <w:rPr>
          <w:sz w:val="32"/>
        </w:rPr>
      </w:pPr>
      <w:r w:rsidRPr="00AB61FB">
        <w:rPr>
          <w:sz w:val="32"/>
        </w:rPr>
        <w:lastRenderedPageBreak/>
        <w:t>Abreviaturas</w:t>
      </w:r>
    </w:p>
    <w:p w14:paraId="2AFCD1A1" w14:textId="77777777" w:rsidR="00ED273D" w:rsidRPr="00AB61FB" w:rsidRDefault="00ED273D" w:rsidP="00ED273D">
      <w:pPr>
        <w:pBdr>
          <w:bottom w:val="single" w:sz="6" w:space="1" w:color="auto"/>
        </w:pBdr>
        <w:rPr>
          <w:sz w:val="20"/>
        </w:rPr>
      </w:pPr>
      <w:r w:rsidRPr="00AB61FB">
        <w:rPr>
          <w:sz w:val="20"/>
        </w:rPr>
        <w:t>CC:</w:t>
      </w:r>
      <w:r w:rsidRPr="00AB61FB">
        <w:rPr>
          <w:sz w:val="20"/>
        </w:rPr>
        <w:tab/>
      </w:r>
      <w:r w:rsidRPr="00AB61FB">
        <w:rPr>
          <w:sz w:val="20"/>
        </w:rPr>
        <w:tab/>
        <w:t>Centro de Control de un Coordinado</w:t>
      </w:r>
    </w:p>
    <w:p w14:paraId="4002D7F8" w14:textId="77777777" w:rsidR="00ED273D" w:rsidRPr="00AB61FB" w:rsidRDefault="00ED273D" w:rsidP="00ED273D">
      <w:pPr>
        <w:pBdr>
          <w:bottom w:val="single" w:sz="6" w:space="1" w:color="auto"/>
        </w:pBdr>
        <w:rPr>
          <w:sz w:val="20"/>
        </w:rPr>
      </w:pPr>
      <w:r w:rsidRPr="00AB61FB">
        <w:rPr>
          <w:sz w:val="20"/>
        </w:rPr>
        <w:t xml:space="preserve">CDC: </w:t>
      </w:r>
      <w:r w:rsidRPr="00AB61FB">
        <w:rPr>
          <w:sz w:val="20"/>
        </w:rPr>
        <w:tab/>
      </w:r>
      <w:r w:rsidRPr="00AB61FB">
        <w:rPr>
          <w:sz w:val="20"/>
        </w:rPr>
        <w:tab/>
        <w:t>Centro de Despacho y Control</w:t>
      </w:r>
    </w:p>
    <w:p w14:paraId="48241C16" w14:textId="77777777" w:rsidR="00ED273D" w:rsidRPr="00AB61FB" w:rsidRDefault="00ED273D" w:rsidP="00ED273D">
      <w:pPr>
        <w:pBdr>
          <w:bottom w:val="single" w:sz="6" w:space="1" w:color="auto"/>
        </w:pBdr>
        <w:rPr>
          <w:sz w:val="20"/>
        </w:rPr>
      </w:pPr>
      <w:r w:rsidRPr="00AB61FB">
        <w:rPr>
          <w:sz w:val="20"/>
        </w:rPr>
        <w:t xml:space="preserve">CNE: </w:t>
      </w:r>
      <w:r w:rsidRPr="00AB61FB">
        <w:rPr>
          <w:sz w:val="20"/>
        </w:rPr>
        <w:tab/>
      </w:r>
      <w:r w:rsidRPr="00AB61FB">
        <w:rPr>
          <w:sz w:val="20"/>
        </w:rPr>
        <w:tab/>
        <w:t>Comisión Nacional de Energía</w:t>
      </w:r>
    </w:p>
    <w:p w14:paraId="2C564D69" w14:textId="77777777" w:rsidR="00ED273D" w:rsidRPr="00AB61FB" w:rsidRDefault="00ED273D" w:rsidP="00ED273D">
      <w:pPr>
        <w:pBdr>
          <w:bottom w:val="single" w:sz="6" w:space="1" w:color="auto"/>
        </w:pBdr>
        <w:rPr>
          <w:sz w:val="20"/>
        </w:rPr>
      </w:pPr>
      <w:r w:rsidRPr="00AB61FB">
        <w:rPr>
          <w:sz w:val="20"/>
        </w:rPr>
        <w:t xml:space="preserve">EDAC: </w:t>
      </w:r>
      <w:r w:rsidRPr="00AB61FB">
        <w:rPr>
          <w:sz w:val="20"/>
        </w:rPr>
        <w:tab/>
      </w:r>
      <w:r w:rsidRPr="00AB61FB">
        <w:rPr>
          <w:sz w:val="20"/>
        </w:rPr>
        <w:tab/>
        <w:t>Esquema de Desconexión Automática de Carga</w:t>
      </w:r>
    </w:p>
    <w:p w14:paraId="05E491AF" w14:textId="77777777" w:rsidR="00ED273D" w:rsidRPr="00AB61FB" w:rsidRDefault="00ED273D" w:rsidP="00ED273D">
      <w:pPr>
        <w:pBdr>
          <w:bottom w:val="single" w:sz="6" w:space="1" w:color="auto"/>
        </w:pBdr>
        <w:rPr>
          <w:sz w:val="20"/>
        </w:rPr>
      </w:pPr>
      <w:r w:rsidRPr="00AB61FB">
        <w:rPr>
          <w:sz w:val="20"/>
        </w:rPr>
        <w:t xml:space="preserve">EDAG: </w:t>
      </w:r>
      <w:r w:rsidRPr="00AB61FB">
        <w:rPr>
          <w:sz w:val="20"/>
        </w:rPr>
        <w:tab/>
      </w:r>
      <w:r w:rsidRPr="00AB61FB">
        <w:rPr>
          <w:sz w:val="20"/>
        </w:rPr>
        <w:tab/>
        <w:t>Esquema de Desconexión Automática de Generación</w:t>
      </w:r>
    </w:p>
    <w:p w14:paraId="2CB5A691" w14:textId="77777777" w:rsidR="00ED273D" w:rsidRPr="00AB61FB" w:rsidRDefault="00ED273D" w:rsidP="00ED273D">
      <w:pPr>
        <w:pBdr>
          <w:bottom w:val="single" w:sz="6" w:space="1" w:color="auto"/>
        </w:pBdr>
        <w:rPr>
          <w:sz w:val="20"/>
        </w:rPr>
      </w:pPr>
      <w:r w:rsidRPr="00AB61FB">
        <w:rPr>
          <w:sz w:val="20"/>
        </w:rPr>
        <w:t xml:space="preserve">ERAG: </w:t>
      </w:r>
      <w:r w:rsidRPr="00AB61FB">
        <w:rPr>
          <w:sz w:val="20"/>
        </w:rPr>
        <w:tab/>
      </w:r>
      <w:r w:rsidRPr="00AB61FB">
        <w:rPr>
          <w:sz w:val="20"/>
        </w:rPr>
        <w:tab/>
        <w:t>Esquema de Reducción Automática de Generación</w:t>
      </w:r>
    </w:p>
    <w:p w14:paraId="4FC3C0CC" w14:textId="77777777" w:rsidR="00ED273D" w:rsidRPr="00AB61FB" w:rsidRDefault="00ED273D" w:rsidP="00ED273D">
      <w:pPr>
        <w:pBdr>
          <w:bottom w:val="single" w:sz="6" w:space="1" w:color="auto"/>
        </w:pBdr>
        <w:rPr>
          <w:sz w:val="20"/>
        </w:rPr>
      </w:pPr>
      <w:r w:rsidRPr="00AB61FB">
        <w:rPr>
          <w:sz w:val="20"/>
        </w:rPr>
        <w:t xml:space="preserve">IED: </w:t>
      </w:r>
      <w:r w:rsidRPr="00AB61FB">
        <w:rPr>
          <w:sz w:val="20"/>
        </w:rPr>
        <w:tab/>
      </w:r>
      <w:r w:rsidRPr="00AB61FB">
        <w:rPr>
          <w:sz w:val="20"/>
        </w:rPr>
        <w:tab/>
        <w:t>Dispositivo Electrónico Inteligente (Intelligent Electronic Device)</w:t>
      </w:r>
    </w:p>
    <w:p w14:paraId="23C82DD3" w14:textId="77777777" w:rsidR="009D68C4" w:rsidRDefault="009D68C4" w:rsidP="00ED273D">
      <w:pPr>
        <w:pBdr>
          <w:bottom w:val="single" w:sz="6" w:space="1" w:color="auto"/>
        </w:pBdr>
        <w:rPr>
          <w:sz w:val="20"/>
        </w:rPr>
      </w:pPr>
      <w:r>
        <w:rPr>
          <w:sz w:val="20"/>
        </w:rPr>
        <w:t>NTCO:</w:t>
      </w:r>
      <w:r>
        <w:rPr>
          <w:sz w:val="20"/>
        </w:rPr>
        <w:tab/>
      </w:r>
      <w:r>
        <w:rPr>
          <w:sz w:val="20"/>
        </w:rPr>
        <w:tab/>
        <w:t xml:space="preserve">Norma Técnica </w:t>
      </w:r>
      <w:r w:rsidR="00A930EF">
        <w:rPr>
          <w:sz w:val="20"/>
        </w:rPr>
        <w:t>de Conexión y Operación de PMGD en Instalaciones de Media Tensión</w:t>
      </w:r>
    </w:p>
    <w:p w14:paraId="5192B7B7" w14:textId="77777777" w:rsidR="00ED273D" w:rsidRPr="00AB61FB" w:rsidRDefault="00ED273D" w:rsidP="00ED273D">
      <w:pPr>
        <w:pBdr>
          <w:bottom w:val="single" w:sz="6" w:space="1" w:color="auto"/>
        </w:pBdr>
        <w:rPr>
          <w:sz w:val="20"/>
        </w:rPr>
      </w:pPr>
      <w:r w:rsidRPr="00AB61FB">
        <w:rPr>
          <w:sz w:val="20"/>
        </w:rPr>
        <w:t xml:space="preserve">NTSyCS: </w:t>
      </w:r>
      <w:r w:rsidRPr="00AB61FB">
        <w:rPr>
          <w:sz w:val="20"/>
        </w:rPr>
        <w:tab/>
        <w:t>Norma Técnica de Seguridad y Calidad de Servicio</w:t>
      </w:r>
    </w:p>
    <w:p w14:paraId="049ECCF0" w14:textId="77777777" w:rsidR="00ED273D" w:rsidRPr="00AB61FB" w:rsidRDefault="00ED273D" w:rsidP="00ED273D">
      <w:pPr>
        <w:pBdr>
          <w:bottom w:val="single" w:sz="6" w:space="1" w:color="auto"/>
        </w:pBdr>
        <w:rPr>
          <w:sz w:val="20"/>
        </w:rPr>
      </w:pPr>
      <w:r w:rsidRPr="00AB61FB">
        <w:rPr>
          <w:sz w:val="20"/>
        </w:rPr>
        <w:t xml:space="preserve">PDCE: </w:t>
      </w:r>
      <w:r w:rsidRPr="00AB61FB">
        <w:rPr>
          <w:sz w:val="20"/>
        </w:rPr>
        <w:tab/>
      </w:r>
      <w:r w:rsidRPr="00AB61FB">
        <w:rPr>
          <w:sz w:val="20"/>
        </w:rPr>
        <w:tab/>
        <w:t>Plan de Defensa contra Contingencia Extrema</w:t>
      </w:r>
    </w:p>
    <w:p w14:paraId="5B28C46A" w14:textId="77777777" w:rsidR="00ED273D" w:rsidRPr="00AB61FB" w:rsidRDefault="00ED273D" w:rsidP="00ED273D">
      <w:pPr>
        <w:pBdr>
          <w:bottom w:val="single" w:sz="6" w:space="1" w:color="auto"/>
        </w:pBdr>
        <w:rPr>
          <w:sz w:val="20"/>
        </w:rPr>
      </w:pPr>
      <w:r w:rsidRPr="00AB61FB">
        <w:rPr>
          <w:sz w:val="20"/>
        </w:rPr>
        <w:t>PMGD:</w:t>
      </w:r>
      <w:r w:rsidRPr="00AB61FB">
        <w:rPr>
          <w:sz w:val="20"/>
        </w:rPr>
        <w:tab/>
      </w:r>
      <w:r w:rsidRPr="00AB61FB">
        <w:rPr>
          <w:sz w:val="20"/>
        </w:rPr>
        <w:tab/>
        <w:t>Pequeño Medio de Generación Distribuida</w:t>
      </w:r>
    </w:p>
    <w:p w14:paraId="4603FD4F" w14:textId="77777777" w:rsidR="00ED273D" w:rsidRPr="00AB61FB" w:rsidRDefault="00ED273D" w:rsidP="00ED273D">
      <w:pPr>
        <w:pBdr>
          <w:bottom w:val="single" w:sz="6" w:space="1" w:color="auto"/>
        </w:pBdr>
        <w:rPr>
          <w:sz w:val="20"/>
        </w:rPr>
      </w:pPr>
      <w:r w:rsidRPr="00AB61FB">
        <w:rPr>
          <w:sz w:val="20"/>
        </w:rPr>
        <w:t xml:space="preserve">PRS: </w:t>
      </w:r>
      <w:r w:rsidRPr="00AB61FB">
        <w:rPr>
          <w:sz w:val="20"/>
        </w:rPr>
        <w:tab/>
      </w:r>
      <w:r w:rsidRPr="00AB61FB">
        <w:rPr>
          <w:sz w:val="20"/>
        </w:rPr>
        <w:tab/>
        <w:t>Plan de Recuperación de Servicio</w:t>
      </w:r>
    </w:p>
    <w:p w14:paraId="2219A1A2" w14:textId="77777777" w:rsidR="00ED273D" w:rsidRPr="00AB61FB" w:rsidRDefault="00ED273D" w:rsidP="00ED273D">
      <w:pPr>
        <w:pBdr>
          <w:bottom w:val="single" w:sz="6" w:space="1" w:color="auto"/>
        </w:pBdr>
        <w:rPr>
          <w:sz w:val="20"/>
        </w:rPr>
      </w:pPr>
      <w:r w:rsidRPr="00AB61FB">
        <w:rPr>
          <w:sz w:val="20"/>
        </w:rPr>
        <w:t xml:space="preserve">RTU: </w:t>
      </w:r>
      <w:r w:rsidRPr="00AB61FB">
        <w:rPr>
          <w:sz w:val="20"/>
        </w:rPr>
        <w:tab/>
      </w:r>
      <w:r w:rsidRPr="00AB61FB">
        <w:rPr>
          <w:sz w:val="20"/>
        </w:rPr>
        <w:tab/>
        <w:t>Unidad Terminal Remota (Remote Terminal Unit)</w:t>
      </w:r>
    </w:p>
    <w:p w14:paraId="4C5A86D6" w14:textId="77777777" w:rsidR="00ED273D" w:rsidRPr="00AB61FB" w:rsidRDefault="00ED273D" w:rsidP="00ED273D">
      <w:pPr>
        <w:pBdr>
          <w:bottom w:val="single" w:sz="6" w:space="1" w:color="auto"/>
        </w:pBdr>
        <w:rPr>
          <w:sz w:val="20"/>
        </w:rPr>
      </w:pPr>
      <w:r w:rsidRPr="00AB61FB">
        <w:rPr>
          <w:sz w:val="20"/>
        </w:rPr>
        <w:t xml:space="preserve">SCL: </w:t>
      </w:r>
      <w:r w:rsidRPr="00AB61FB">
        <w:rPr>
          <w:sz w:val="20"/>
        </w:rPr>
        <w:tab/>
      </w:r>
      <w:r w:rsidRPr="00AB61FB">
        <w:rPr>
          <w:sz w:val="20"/>
        </w:rPr>
        <w:tab/>
        <w:t>Sistema de Control Local</w:t>
      </w:r>
    </w:p>
    <w:p w14:paraId="47F3A86B" w14:textId="77777777" w:rsidR="00ED273D" w:rsidRPr="00AB61FB" w:rsidRDefault="00ED273D" w:rsidP="00ED273D">
      <w:pPr>
        <w:pBdr>
          <w:bottom w:val="single" w:sz="6" w:space="1" w:color="auto"/>
        </w:pBdr>
        <w:rPr>
          <w:sz w:val="20"/>
        </w:rPr>
      </w:pPr>
      <w:r w:rsidRPr="00AB61FB">
        <w:rPr>
          <w:sz w:val="20"/>
        </w:rPr>
        <w:t xml:space="preserve">SEC: </w:t>
      </w:r>
      <w:r w:rsidRPr="00AB61FB">
        <w:rPr>
          <w:sz w:val="20"/>
        </w:rPr>
        <w:tab/>
      </w:r>
      <w:r w:rsidRPr="00AB61FB">
        <w:rPr>
          <w:sz w:val="20"/>
        </w:rPr>
        <w:tab/>
        <w:t>Superintendencia de Electricidad y Combustibles</w:t>
      </w:r>
    </w:p>
    <w:p w14:paraId="6990E131" w14:textId="77777777" w:rsidR="00ED273D" w:rsidRPr="00AB61FB" w:rsidRDefault="00ED273D" w:rsidP="00540481">
      <w:pPr>
        <w:pBdr>
          <w:bottom w:val="single" w:sz="6" w:space="1" w:color="auto"/>
        </w:pBdr>
        <w:rPr>
          <w:sz w:val="20"/>
        </w:rPr>
      </w:pPr>
      <w:r w:rsidRPr="00AB61FB">
        <w:rPr>
          <w:sz w:val="20"/>
        </w:rPr>
        <w:t xml:space="preserve">SITR: </w:t>
      </w:r>
      <w:r w:rsidRPr="00AB61FB">
        <w:rPr>
          <w:sz w:val="20"/>
        </w:rPr>
        <w:tab/>
      </w:r>
      <w:r w:rsidRPr="00AB61FB">
        <w:rPr>
          <w:sz w:val="20"/>
        </w:rPr>
        <w:tab/>
        <w:t>Sistema de Información en Tiempo Real</w:t>
      </w:r>
    </w:p>
    <w:p w14:paraId="761C0A36" w14:textId="77777777" w:rsidR="00ED273D" w:rsidRPr="00944E5B" w:rsidRDefault="00ED273D" w:rsidP="00540481">
      <w:pPr>
        <w:pBdr>
          <w:bottom w:val="single" w:sz="6" w:space="1" w:color="auto"/>
        </w:pBdr>
        <w:rPr>
          <w:color w:val="007DB1" w:themeColor="background1"/>
          <w:sz w:val="20"/>
        </w:rPr>
      </w:pPr>
    </w:p>
    <w:p w14:paraId="2CC0ABA9" w14:textId="77777777" w:rsidR="002A7D38" w:rsidRPr="00944E5B" w:rsidRDefault="002A7D38">
      <w:pPr>
        <w:spacing w:before="0" w:after="160" w:line="259" w:lineRule="auto"/>
        <w:jc w:val="left"/>
        <w:rPr>
          <w:noProof/>
          <w:color w:val="007DB1" w:themeColor="background1"/>
          <w:sz w:val="32"/>
        </w:rPr>
      </w:pPr>
      <w:r w:rsidRPr="00944E5B">
        <w:rPr>
          <w:noProof/>
          <w:color w:val="007DB1" w:themeColor="background1"/>
          <w:sz w:val="32"/>
        </w:rPr>
        <w:br w:type="page"/>
      </w:r>
    </w:p>
    <w:p w14:paraId="7686378D" w14:textId="77777777" w:rsidR="00B34806" w:rsidRPr="00AB61FB" w:rsidRDefault="00540481" w:rsidP="00540481">
      <w:pPr>
        <w:pBdr>
          <w:bottom w:val="single" w:sz="6" w:space="1" w:color="auto"/>
        </w:pBdr>
        <w:rPr>
          <w:noProof/>
          <w:sz w:val="32"/>
        </w:rPr>
      </w:pPr>
      <w:r w:rsidRPr="00AB61FB">
        <w:rPr>
          <w:noProof/>
          <w:sz w:val="32"/>
        </w:rPr>
        <w:lastRenderedPageBreak/>
        <w:t>Índice</w:t>
      </w:r>
    </w:p>
    <w:p w14:paraId="7ED8A165" w14:textId="0DC42D70" w:rsidR="00AB1C3A" w:rsidRDefault="00EB65FA">
      <w:pPr>
        <w:pStyle w:val="TDC1"/>
        <w:rPr>
          <w:rFonts w:asciiTheme="minorHAnsi" w:eastAsiaTheme="minorEastAsia" w:hAnsiTheme="minorHAnsi" w:cstheme="minorBidi"/>
          <w:b w:val="0"/>
          <w:bCs w:val="0"/>
          <w:iCs w:val="0"/>
          <w:color w:val="auto"/>
          <w:szCs w:val="22"/>
          <w:lang w:eastAsia="es-CL"/>
        </w:rPr>
      </w:pPr>
      <w:r w:rsidRPr="00AB61FB">
        <w:rPr>
          <w:color w:val="auto"/>
          <w:sz w:val="32"/>
        </w:rPr>
        <w:fldChar w:fldCharType="begin"/>
      </w:r>
      <w:r w:rsidRPr="00AB61FB">
        <w:rPr>
          <w:color w:val="auto"/>
          <w:sz w:val="32"/>
        </w:rPr>
        <w:instrText xml:space="preserve"> TOC \o "1-3" \h \z \u </w:instrText>
      </w:r>
      <w:r w:rsidRPr="00AB61FB">
        <w:rPr>
          <w:color w:val="auto"/>
          <w:sz w:val="32"/>
        </w:rPr>
        <w:fldChar w:fldCharType="separate"/>
      </w:r>
      <w:hyperlink w:anchor="_Toc34319826" w:history="1">
        <w:r w:rsidR="00AB1C3A" w:rsidRPr="0003248B">
          <w:rPr>
            <w:rStyle w:val="Hipervnculo"/>
          </w:rPr>
          <w:t>INTRODUCCIÓN</w:t>
        </w:r>
        <w:r w:rsidR="00AB1C3A">
          <w:rPr>
            <w:webHidden/>
          </w:rPr>
          <w:tab/>
        </w:r>
        <w:r w:rsidR="00AB1C3A">
          <w:rPr>
            <w:webHidden/>
          </w:rPr>
          <w:fldChar w:fldCharType="begin"/>
        </w:r>
        <w:r w:rsidR="00AB1C3A">
          <w:rPr>
            <w:webHidden/>
          </w:rPr>
          <w:instrText xml:space="preserve"> PAGEREF _Toc34319826 \h </w:instrText>
        </w:r>
        <w:r w:rsidR="00AB1C3A">
          <w:rPr>
            <w:webHidden/>
          </w:rPr>
        </w:r>
        <w:r w:rsidR="00AB1C3A">
          <w:rPr>
            <w:webHidden/>
          </w:rPr>
          <w:fldChar w:fldCharType="separate"/>
        </w:r>
        <w:r w:rsidR="00AB1C3A">
          <w:rPr>
            <w:webHidden/>
          </w:rPr>
          <w:t>4</w:t>
        </w:r>
        <w:r w:rsidR="00AB1C3A">
          <w:rPr>
            <w:webHidden/>
          </w:rPr>
          <w:fldChar w:fldCharType="end"/>
        </w:r>
      </w:hyperlink>
    </w:p>
    <w:p w14:paraId="57B4A6F0" w14:textId="395CAA69" w:rsidR="00AB1C3A" w:rsidRDefault="00DD7092">
      <w:pPr>
        <w:pStyle w:val="TDC1"/>
        <w:rPr>
          <w:rFonts w:asciiTheme="minorHAnsi" w:eastAsiaTheme="minorEastAsia" w:hAnsiTheme="minorHAnsi" w:cstheme="minorBidi"/>
          <w:b w:val="0"/>
          <w:bCs w:val="0"/>
          <w:iCs w:val="0"/>
          <w:color w:val="auto"/>
          <w:szCs w:val="22"/>
          <w:lang w:eastAsia="es-CL"/>
        </w:rPr>
      </w:pPr>
      <w:hyperlink w:anchor="_Toc34319827" w:history="1">
        <w:r w:rsidR="00AB1C3A" w:rsidRPr="0003248B">
          <w:rPr>
            <w:rStyle w:val="Hipervnculo"/>
          </w:rPr>
          <w:t>SISTEMA ELÉCTRICO NACIONAL (SEN)</w:t>
        </w:r>
        <w:r w:rsidR="00AB1C3A">
          <w:rPr>
            <w:webHidden/>
          </w:rPr>
          <w:tab/>
        </w:r>
        <w:r w:rsidR="00AB1C3A">
          <w:rPr>
            <w:webHidden/>
          </w:rPr>
          <w:fldChar w:fldCharType="begin"/>
        </w:r>
        <w:r w:rsidR="00AB1C3A">
          <w:rPr>
            <w:webHidden/>
          </w:rPr>
          <w:instrText xml:space="preserve"> PAGEREF _Toc34319827 \h </w:instrText>
        </w:r>
        <w:r w:rsidR="00AB1C3A">
          <w:rPr>
            <w:webHidden/>
          </w:rPr>
        </w:r>
        <w:r w:rsidR="00AB1C3A">
          <w:rPr>
            <w:webHidden/>
          </w:rPr>
          <w:fldChar w:fldCharType="separate"/>
        </w:r>
        <w:r w:rsidR="00AB1C3A">
          <w:rPr>
            <w:webHidden/>
          </w:rPr>
          <w:t>5</w:t>
        </w:r>
        <w:r w:rsidR="00AB1C3A">
          <w:rPr>
            <w:webHidden/>
          </w:rPr>
          <w:fldChar w:fldCharType="end"/>
        </w:r>
      </w:hyperlink>
    </w:p>
    <w:p w14:paraId="487519C8" w14:textId="7A2945E8" w:rsidR="00AB1C3A" w:rsidRDefault="00DD7092">
      <w:pPr>
        <w:pStyle w:val="TDC2"/>
        <w:rPr>
          <w:rFonts w:asciiTheme="minorHAnsi" w:eastAsiaTheme="minorEastAsia" w:hAnsiTheme="minorHAnsi" w:cstheme="minorBidi"/>
          <w:bCs w:val="0"/>
          <w:sz w:val="22"/>
          <w:szCs w:val="22"/>
          <w:lang w:eastAsia="es-CL"/>
        </w:rPr>
      </w:pPr>
      <w:hyperlink w:anchor="_Toc34319828" w:history="1">
        <w:r w:rsidR="00AB1C3A" w:rsidRPr="0003248B">
          <w:rPr>
            <w:rStyle w:val="Hipervnculo"/>
          </w:rPr>
          <w:t>1.</w:t>
        </w:r>
        <w:r w:rsidR="00AB1C3A">
          <w:rPr>
            <w:rFonts w:asciiTheme="minorHAnsi" w:eastAsiaTheme="minorEastAsia" w:hAnsiTheme="minorHAnsi" w:cstheme="minorBidi"/>
            <w:bCs w:val="0"/>
            <w:sz w:val="22"/>
            <w:szCs w:val="22"/>
            <w:lang w:eastAsia="es-CL"/>
          </w:rPr>
          <w:tab/>
        </w:r>
        <w:r w:rsidR="00AB1C3A" w:rsidRPr="0003248B">
          <w:rPr>
            <w:rStyle w:val="Hipervnculo"/>
          </w:rPr>
          <w:t>SISTEMA DE INFORMACIÓN EN TIEMPO REAL</w:t>
        </w:r>
        <w:r w:rsidR="00AB1C3A">
          <w:rPr>
            <w:webHidden/>
          </w:rPr>
          <w:tab/>
        </w:r>
        <w:r w:rsidR="00AB1C3A">
          <w:rPr>
            <w:webHidden/>
          </w:rPr>
          <w:fldChar w:fldCharType="begin"/>
        </w:r>
        <w:r w:rsidR="00AB1C3A">
          <w:rPr>
            <w:webHidden/>
          </w:rPr>
          <w:instrText xml:space="preserve"> PAGEREF _Toc34319828 \h </w:instrText>
        </w:r>
        <w:r w:rsidR="00AB1C3A">
          <w:rPr>
            <w:webHidden/>
          </w:rPr>
        </w:r>
        <w:r w:rsidR="00AB1C3A">
          <w:rPr>
            <w:webHidden/>
          </w:rPr>
          <w:fldChar w:fldCharType="separate"/>
        </w:r>
        <w:r w:rsidR="00AB1C3A">
          <w:rPr>
            <w:webHidden/>
          </w:rPr>
          <w:t>6</w:t>
        </w:r>
        <w:r w:rsidR="00AB1C3A">
          <w:rPr>
            <w:webHidden/>
          </w:rPr>
          <w:fldChar w:fldCharType="end"/>
        </w:r>
      </w:hyperlink>
    </w:p>
    <w:p w14:paraId="4F6AEA44" w14:textId="31AB77A3" w:rsidR="00AB1C3A" w:rsidRDefault="00DD7092">
      <w:pPr>
        <w:pStyle w:val="TDC3"/>
        <w:rPr>
          <w:rFonts w:asciiTheme="minorHAnsi" w:eastAsiaTheme="minorEastAsia" w:hAnsiTheme="minorHAnsi" w:cstheme="minorBidi"/>
          <w:caps w:val="0"/>
          <w:noProof/>
          <w:sz w:val="22"/>
          <w:szCs w:val="22"/>
          <w:lang w:eastAsia="es-CL"/>
        </w:rPr>
      </w:pPr>
      <w:hyperlink w:anchor="_Toc34319829" w:history="1">
        <w:r w:rsidR="00AB1C3A" w:rsidRPr="0003248B">
          <w:rPr>
            <w:rStyle w:val="Hipervnculo"/>
            <w:noProof/>
          </w:rPr>
          <w:t>1.1.</w:t>
        </w:r>
        <w:r w:rsidR="00AB1C3A">
          <w:rPr>
            <w:rFonts w:asciiTheme="minorHAnsi" w:eastAsiaTheme="minorEastAsia" w:hAnsiTheme="minorHAnsi" w:cstheme="minorBidi"/>
            <w:caps w:val="0"/>
            <w:noProof/>
            <w:sz w:val="22"/>
            <w:szCs w:val="22"/>
            <w:lang w:eastAsia="es-CL"/>
          </w:rPr>
          <w:tab/>
        </w:r>
        <w:r w:rsidR="00AB1C3A" w:rsidRPr="0003248B">
          <w:rPr>
            <w:rStyle w:val="Hipervnculo"/>
            <w:noProof/>
          </w:rPr>
          <w:t>DISPONIBILIDAD DEL SITR</w:t>
        </w:r>
        <w:r w:rsidR="00AB1C3A">
          <w:rPr>
            <w:noProof/>
            <w:webHidden/>
          </w:rPr>
          <w:tab/>
        </w:r>
        <w:r w:rsidR="00AB1C3A">
          <w:rPr>
            <w:noProof/>
            <w:webHidden/>
          </w:rPr>
          <w:fldChar w:fldCharType="begin"/>
        </w:r>
        <w:r w:rsidR="00AB1C3A">
          <w:rPr>
            <w:noProof/>
            <w:webHidden/>
          </w:rPr>
          <w:instrText xml:space="preserve"> PAGEREF _Toc34319829 \h </w:instrText>
        </w:r>
        <w:r w:rsidR="00AB1C3A">
          <w:rPr>
            <w:noProof/>
            <w:webHidden/>
          </w:rPr>
        </w:r>
        <w:r w:rsidR="00AB1C3A">
          <w:rPr>
            <w:noProof/>
            <w:webHidden/>
          </w:rPr>
          <w:fldChar w:fldCharType="separate"/>
        </w:r>
        <w:r w:rsidR="00AB1C3A">
          <w:rPr>
            <w:noProof/>
            <w:webHidden/>
          </w:rPr>
          <w:t>6</w:t>
        </w:r>
        <w:r w:rsidR="00AB1C3A">
          <w:rPr>
            <w:noProof/>
            <w:webHidden/>
          </w:rPr>
          <w:fldChar w:fldCharType="end"/>
        </w:r>
      </w:hyperlink>
    </w:p>
    <w:p w14:paraId="53AA2006" w14:textId="31288C0E" w:rsidR="00AB1C3A" w:rsidRDefault="00DD7092">
      <w:pPr>
        <w:pStyle w:val="TDC3"/>
        <w:rPr>
          <w:rFonts w:asciiTheme="minorHAnsi" w:eastAsiaTheme="minorEastAsia" w:hAnsiTheme="minorHAnsi" w:cstheme="minorBidi"/>
          <w:caps w:val="0"/>
          <w:noProof/>
          <w:sz w:val="22"/>
          <w:szCs w:val="22"/>
          <w:lang w:eastAsia="es-CL"/>
        </w:rPr>
      </w:pPr>
      <w:hyperlink w:anchor="_Toc34319830" w:history="1">
        <w:r w:rsidR="00AB1C3A" w:rsidRPr="0003248B">
          <w:rPr>
            <w:rStyle w:val="Hipervnculo"/>
            <w:noProof/>
          </w:rPr>
          <w:t>1.2.</w:t>
        </w:r>
        <w:r w:rsidR="00AB1C3A">
          <w:rPr>
            <w:rFonts w:asciiTheme="minorHAnsi" w:eastAsiaTheme="minorEastAsia" w:hAnsiTheme="minorHAnsi" w:cstheme="minorBidi"/>
            <w:caps w:val="0"/>
            <w:noProof/>
            <w:sz w:val="22"/>
            <w:szCs w:val="22"/>
            <w:lang w:eastAsia="es-CL"/>
          </w:rPr>
          <w:tab/>
        </w:r>
        <w:r w:rsidR="00AB1C3A" w:rsidRPr="0003248B">
          <w:rPr>
            <w:rStyle w:val="Hipervnculo"/>
            <w:noProof/>
          </w:rPr>
          <w:t>TIEMPOS DE ACTUALIZACIÓN DEL SITR</w:t>
        </w:r>
        <w:r w:rsidR="00AB1C3A">
          <w:rPr>
            <w:noProof/>
            <w:webHidden/>
          </w:rPr>
          <w:tab/>
        </w:r>
        <w:r w:rsidR="00AB1C3A">
          <w:rPr>
            <w:noProof/>
            <w:webHidden/>
          </w:rPr>
          <w:fldChar w:fldCharType="begin"/>
        </w:r>
        <w:r w:rsidR="00AB1C3A">
          <w:rPr>
            <w:noProof/>
            <w:webHidden/>
          </w:rPr>
          <w:instrText xml:space="preserve"> PAGEREF _Toc34319830 \h </w:instrText>
        </w:r>
        <w:r w:rsidR="00AB1C3A">
          <w:rPr>
            <w:noProof/>
            <w:webHidden/>
          </w:rPr>
        </w:r>
        <w:r w:rsidR="00AB1C3A">
          <w:rPr>
            <w:noProof/>
            <w:webHidden/>
          </w:rPr>
          <w:fldChar w:fldCharType="separate"/>
        </w:r>
        <w:r w:rsidR="00AB1C3A">
          <w:rPr>
            <w:noProof/>
            <w:webHidden/>
          </w:rPr>
          <w:t>8</w:t>
        </w:r>
        <w:r w:rsidR="00AB1C3A">
          <w:rPr>
            <w:noProof/>
            <w:webHidden/>
          </w:rPr>
          <w:fldChar w:fldCharType="end"/>
        </w:r>
      </w:hyperlink>
    </w:p>
    <w:p w14:paraId="409B608B" w14:textId="4F88B139" w:rsidR="00AB1C3A" w:rsidRDefault="00DD7092">
      <w:pPr>
        <w:pStyle w:val="TDC2"/>
        <w:rPr>
          <w:rFonts w:asciiTheme="minorHAnsi" w:eastAsiaTheme="minorEastAsia" w:hAnsiTheme="minorHAnsi" w:cstheme="minorBidi"/>
          <w:bCs w:val="0"/>
          <w:sz w:val="22"/>
          <w:szCs w:val="22"/>
          <w:lang w:eastAsia="es-CL"/>
        </w:rPr>
      </w:pPr>
      <w:hyperlink w:anchor="_Toc34319831" w:history="1">
        <w:r w:rsidR="00AB1C3A" w:rsidRPr="0003248B">
          <w:rPr>
            <w:rStyle w:val="Hipervnculo"/>
          </w:rPr>
          <w:t>2.</w:t>
        </w:r>
        <w:r w:rsidR="00AB1C3A">
          <w:rPr>
            <w:rFonts w:asciiTheme="minorHAnsi" w:eastAsiaTheme="minorEastAsia" w:hAnsiTheme="minorHAnsi" w:cstheme="minorBidi"/>
            <w:bCs w:val="0"/>
            <w:sz w:val="22"/>
            <w:szCs w:val="22"/>
            <w:lang w:eastAsia="es-CL"/>
          </w:rPr>
          <w:tab/>
        </w:r>
        <w:r w:rsidR="00AB1C3A" w:rsidRPr="0003248B">
          <w:rPr>
            <w:rStyle w:val="Hipervnculo"/>
          </w:rPr>
          <w:t>DISPONIBILIDAD CANALES DE VOZ</w:t>
        </w:r>
        <w:r w:rsidR="00AB1C3A">
          <w:rPr>
            <w:webHidden/>
          </w:rPr>
          <w:tab/>
        </w:r>
        <w:r w:rsidR="00AB1C3A">
          <w:rPr>
            <w:webHidden/>
          </w:rPr>
          <w:fldChar w:fldCharType="begin"/>
        </w:r>
        <w:r w:rsidR="00AB1C3A">
          <w:rPr>
            <w:webHidden/>
          </w:rPr>
          <w:instrText xml:space="preserve"> PAGEREF _Toc34319831 \h </w:instrText>
        </w:r>
        <w:r w:rsidR="00AB1C3A">
          <w:rPr>
            <w:webHidden/>
          </w:rPr>
        </w:r>
        <w:r w:rsidR="00AB1C3A">
          <w:rPr>
            <w:webHidden/>
          </w:rPr>
          <w:fldChar w:fldCharType="separate"/>
        </w:r>
        <w:r w:rsidR="00AB1C3A">
          <w:rPr>
            <w:webHidden/>
          </w:rPr>
          <w:t>10</w:t>
        </w:r>
        <w:r w:rsidR="00AB1C3A">
          <w:rPr>
            <w:webHidden/>
          </w:rPr>
          <w:fldChar w:fldCharType="end"/>
        </w:r>
      </w:hyperlink>
    </w:p>
    <w:p w14:paraId="23D39096" w14:textId="1C69EC3C" w:rsidR="00AB1C3A" w:rsidRDefault="00DD7092">
      <w:pPr>
        <w:pStyle w:val="TDC2"/>
        <w:rPr>
          <w:rFonts w:asciiTheme="minorHAnsi" w:eastAsiaTheme="minorEastAsia" w:hAnsiTheme="minorHAnsi" w:cstheme="minorBidi"/>
          <w:bCs w:val="0"/>
          <w:sz w:val="22"/>
          <w:szCs w:val="22"/>
          <w:lang w:eastAsia="es-CL"/>
        </w:rPr>
      </w:pPr>
      <w:hyperlink w:anchor="_Toc34319832" w:history="1">
        <w:r w:rsidR="00AB1C3A" w:rsidRPr="0003248B">
          <w:rPr>
            <w:rStyle w:val="Hipervnculo"/>
          </w:rPr>
          <w:t>3.</w:t>
        </w:r>
        <w:r w:rsidR="00AB1C3A">
          <w:rPr>
            <w:rFonts w:asciiTheme="minorHAnsi" w:eastAsiaTheme="minorEastAsia" w:hAnsiTheme="minorHAnsi" w:cstheme="minorBidi"/>
            <w:bCs w:val="0"/>
            <w:sz w:val="22"/>
            <w:szCs w:val="22"/>
            <w:lang w:eastAsia="es-CL"/>
          </w:rPr>
          <w:tab/>
        </w:r>
        <w:r w:rsidR="00AB1C3A" w:rsidRPr="0003248B">
          <w:rPr>
            <w:rStyle w:val="Hipervnculo"/>
          </w:rPr>
          <w:t>DISPONIBILIDAD CANALES DE TELEPROTECCIÓN</w:t>
        </w:r>
        <w:r w:rsidR="00AB1C3A">
          <w:rPr>
            <w:webHidden/>
          </w:rPr>
          <w:tab/>
        </w:r>
        <w:r w:rsidR="00AB1C3A">
          <w:rPr>
            <w:webHidden/>
          </w:rPr>
          <w:fldChar w:fldCharType="begin"/>
        </w:r>
        <w:r w:rsidR="00AB1C3A">
          <w:rPr>
            <w:webHidden/>
          </w:rPr>
          <w:instrText xml:space="preserve"> PAGEREF _Toc34319832 \h </w:instrText>
        </w:r>
        <w:r w:rsidR="00AB1C3A">
          <w:rPr>
            <w:webHidden/>
          </w:rPr>
        </w:r>
        <w:r w:rsidR="00AB1C3A">
          <w:rPr>
            <w:webHidden/>
          </w:rPr>
          <w:fldChar w:fldCharType="separate"/>
        </w:r>
        <w:r w:rsidR="00AB1C3A">
          <w:rPr>
            <w:webHidden/>
          </w:rPr>
          <w:t>11</w:t>
        </w:r>
        <w:r w:rsidR="00AB1C3A">
          <w:rPr>
            <w:webHidden/>
          </w:rPr>
          <w:fldChar w:fldCharType="end"/>
        </w:r>
      </w:hyperlink>
    </w:p>
    <w:p w14:paraId="065E870A" w14:textId="54B0A801" w:rsidR="00AB1C3A" w:rsidRDefault="00DD7092">
      <w:pPr>
        <w:pStyle w:val="TDC2"/>
        <w:rPr>
          <w:rFonts w:asciiTheme="minorHAnsi" w:eastAsiaTheme="minorEastAsia" w:hAnsiTheme="minorHAnsi" w:cstheme="minorBidi"/>
          <w:bCs w:val="0"/>
          <w:sz w:val="22"/>
          <w:szCs w:val="22"/>
          <w:lang w:eastAsia="es-CL"/>
        </w:rPr>
      </w:pPr>
      <w:hyperlink w:anchor="_Toc34319833" w:history="1">
        <w:r w:rsidR="00AB1C3A" w:rsidRPr="0003248B">
          <w:rPr>
            <w:rStyle w:val="Hipervnculo"/>
          </w:rPr>
          <w:t>4.</w:t>
        </w:r>
        <w:r w:rsidR="00AB1C3A">
          <w:rPr>
            <w:rFonts w:asciiTheme="minorHAnsi" w:eastAsiaTheme="minorEastAsia" w:hAnsiTheme="minorHAnsi" w:cstheme="minorBidi"/>
            <w:bCs w:val="0"/>
            <w:sz w:val="22"/>
            <w:szCs w:val="22"/>
            <w:lang w:eastAsia="es-CL"/>
          </w:rPr>
          <w:tab/>
        </w:r>
        <w:r w:rsidR="00AB1C3A" w:rsidRPr="0003248B">
          <w:rPr>
            <w:rStyle w:val="Hipervnculo"/>
          </w:rPr>
          <w:t>IMPLEMENTACIÓN DE AUTOMATISMOS</w:t>
        </w:r>
        <w:r w:rsidR="00AB1C3A">
          <w:rPr>
            <w:webHidden/>
          </w:rPr>
          <w:tab/>
        </w:r>
        <w:r w:rsidR="00AB1C3A">
          <w:rPr>
            <w:webHidden/>
          </w:rPr>
          <w:fldChar w:fldCharType="begin"/>
        </w:r>
        <w:r w:rsidR="00AB1C3A">
          <w:rPr>
            <w:webHidden/>
          </w:rPr>
          <w:instrText xml:space="preserve"> PAGEREF _Toc34319833 \h </w:instrText>
        </w:r>
        <w:r w:rsidR="00AB1C3A">
          <w:rPr>
            <w:webHidden/>
          </w:rPr>
        </w:r>
        <w:r w:rsidR="00AB1C3A">
          <w:rPr>
            <w:webHidden/>
          </w:rPr>
          <w:fldChar w:fldCharType="separate"/>
        </w:r>
        <w:r w:rsidR="00AB1C3A">
          <w:rPr>
            <w:webHidden/>
          </w:rPr>
          <w:t>12</w:t>
        </w:r>
        <w:r w:rsidR="00AB1C3A">
          <w:rPr>
            <w:webHidden/>
          </w:rPr>
          <w:fldChar w:fldCharType="end"/>
        </w:r>
      </w:hyperlink>
    </w:p>
    <w:p w14:paraId="736F351D" w14:textId="73B9679C" w:rsidR="00AB1C3A" w:rsidRDefault="00DD7092">
      <w:pPr>
        <w:pStyle w:val="TDC2"/>
        <w:rPr>
          <w:rFonts w:asciiTheme="minorHAnsi" w:eastAsiaTheme="minorEastAsia" w:hAnsiTheme="minorHAnsi" w:cstheme="minorBidi"/>
          <w:bCs w:val="0"/>
          <w:sz w:val="22"/>
          <w:szCs w:val="22"/>
          <w:lang w:eastAsia="es-CL"/>
        </w:rPr>
      </w:pPr>
      <w:hyperlink w:anchor="_Toc34319834" w:history="1">
        <w:r w:rsidR="00AB1C3A" w:rsidRPr="0003248B">
          <w:rPr>
            <w:rStyle w:val="Hipervnculo"/>
          </w:rPr>
          <w:t>5.</w:t>
        </w:r>
        <w:r w:rsidR="00AB1C3A">
          <w:rPr>
            <w:rFonts w:asciiTheme="minorHAnsi" w:eastAsiaTheme="minorEastAsia" w:hAnsiTheme="minorHAnsi" w:cstheme="minorBidi"/>
            <w:bCs w:val="0"/>
            <w:sz w:val="22"/>
            <w:szCs w:val="22"/>
            <w:lang w:eastAsia="es-CL"/>
          </w:rPr>
          <w:tab/>
        </w:r>
        <w:r w:rsidR="00AB1C3A" w:rsidRPr="0003248B">
          <w:rPr>
            <w:rStyle w:val="Hipervnculo"/>
          </w:rPr>
          <w:t>INFORMACIÓN TÉCNICA DE INSTALACIONES Y EQUIPAMIENTOS</w:t>
        </w:r>
        <w:r w:rsidR="00AB1C3A">
          <w:rPr>
            <w:webHidden/>
          </w:rPr>
          <w:tab/>
        </w:r>
        <w:r w:rsidR="00AB1C3A">
          <w:rPr>
            <w:webHidden/>
          </w:rPr>
          <w:fldChar w:fldCharType="begin"/>
        </w:r>
        <w:r w:rsidR="00AB1C3A">
          <w:rPr>
            <w:webHidden/>
          </w:rPr>
          <w:instrText xml:space="preserve"> PAGEREF _Toc34319834 \h </w:instrText>
        </w:r>
        <w:r w:rsidR="00AB1C3A">
          <w:rPr>
            <w:webHidden/>
          </w:rPr>
        </w:r>
        <w:r w:rsidR="00AB1C3A">
          <w:rPr>
            <w:webHidden/>
          </w:rPr>
          <w:fldChar w:fldCharType="separate"/>
        </w:r>
        <w:r w:rsidR="00AB1C3A">
          <w:rPr>
            <w:webHidden/>
          </w:rPr>
          <w:t>13</w:t>
        </w:r>
        <w:r w:rsidR="00AB1C3A">
          <w:rPr>
            <w:webHidden/>
          </w:rPr>
          <w:fldChar w:fldCharType="end"/>
        </w:r>
      </w:hyperlink>
    </w:p>
    <w:p w14:paraId="0C55995E" w14:textId="11B39EC4" w:rsidR="00AB1C3A" w:rsidRDefault="00DD7092">
      <w:pPr>
        <w:pStyle w:val="TDC2"/>
        <w:rPr>
          <w:rFonts w:asciiTheme="minorHAnsi" w:eastAsiaTheme="minorEastAsia" w:hAnsiTheme="minorHAnsi" w:cstheme="minorBidi"/>
          <w:bCs w:val="0"/>
          <w:sz w:val="22"/>
          <w:szCs w:val="22"/>
          <w:lang w:eastAsia="es-CL"/>
        </w:rPr>
      </w:pPr>
      <w:hyperlink w:anchor="_Toc34319835" w:history="1">
        <w:r w:rsidR="00AB1C3A" w:rsidRPr="0003248B">
          <w:rPr>
            <w:rStyle w:val="Hipervnculo"/>
          </w:rPr>
          <w:t>6.</w:t>
        </w:r>
        <w:r w:rsidR="00AB1C3A">
          <w:rPr>
            <w:rFonts w:asciiTheme="minorHAnsi" w:eastAsiaTheme="minorEastAsia" w:hAnsiTheme="minorHAnsi" w:cstheme="minorBidi"/>
            <w:bCs w:val="0"/>
            <w:sz w:val="22"/>
            <w:szCs w:val="22"/>
            <w:lang w:eastAsia="es-CL"/>
          </w:rPr>
          <w:tab/>
        </w:r>
        <w:r w:rsidR="00AB1C3A" w:rsidRPr="0003248B">
          <w:rPr>
            <w:rStyle w:val="Hipervnculo"/>
          </w:rPr>
          <w:t>IMPLEMENTACIÓN DE PLANES DE RECUPERACIÓN DE SERVICIO (PRS)</w:t>
        </w:r>
        <w:r w:rsidR="00AB1C3A">
          <w:rPr>
            <w:webHidden/>
          </w:rPr>
          <w:tab/>
        </w:r>
        <w:r w:rsidR="00AB1C3A">
          <w:rPr>
            <w:webHidden/>
          </w:rPr>
          <w:fldChar w:fldCharType="begin"/>
        </w:r>
        <w:r w:rsidR="00AB1C3A">
          <w:rPr>
            <w:webHidden/>
          </w:rPr>
          <w:instrText xml:space="preserve"> PAGEREF _Toc34319835 \h </w:instrText>
        </w:r>
        <w:r w:rsidR="00AB1C3A">
          <w:rPr>
            <w:webHidden/>
          </w:rPr>
        </w:r>
        <w:r w:rsidR="00AB1C3A">
          <w:rPr>
            <w:webHidden/>
          </w:rPr>
          <w:fldChar w:fldCharType="separate"/>
        </w:r>
        <w:r w:rsidR="00AB1C3A">
          <w:rPr>
            <w:webHidden/>
          </w:rPr>
          <w:t>14</w:t>
        </w:r>
        <w:r w:rsidR="00AB1C3A">
          <w:rPr>
            <w:webHidden/>
          </w:rPr>
          <w:fldChar w:fldCharType="end"/>
        </w:r>
      </w:hyperlink>
    </w:p>
    <w:p w14:paraId="4AE95A21" w14:textId="05E63C36" w:rsidR="00AB1C3A" w:rsidRDefault="00DD7092">
      <w:pPr>
        <w:pStyle w:val="TDC3"/>
        <w:rPr>
          <w:rFonts w:asciiTheme="minorHAnsi" w:eastAsiaTheme="minorEastAsia" w:hAnsiTheme="minorHAnsi" w:cstheme="minorBidi"/>
          <w:caps w:val="0"/>
          <w:noProof/>
          <w:sz w:val="22"/>
          <w:szCs w:val="22"/>
          <w:lang w:eastAsia="es-CL"/>
        </w:rPr>
      </w:pPr>
      <w:hyperlink w:anchor="_Toc34319836" w:history="1">
        <w:r w:rsidR="00AB1C3A" w:rsidRPr="0003248B">
          <w:rPr>
            <w:rStyle w:val="Hipervnculo"/>
            <w:noProof/>
          </w:rPr>
          <w:t>6.1.</w:t>
        </w:r>
        <w:r w:rsidR="00AB1C3A">
          <w:rPr>
            <w:rFonts w:asciiTheme="minorHAnsi" w:eastAsiaTheme="minorEastAsia" w:hAnsiTheme="minorHAnsi" w:cstheme="minorBidi"/>
            <w:caps w:val="0"/>
            <w:noProof/>
            <w:sz w:val="22"/>
            <w:szCs w:val="22"/>
            <w:lang w:eastAsia="es-CL"/>
          </w:rPr>
          <w:tab/>
        </w:r>
        <w:r w:rsidR="00AB1C3A" w:rsidRPr="0003248B">
          <w:rPr>
            <w:rStyle w:val="Hipervnculo"/>
            <w:noProof/>
          </w:rPr>
          <w:t>IMPLEMENTACIÓN</w:t>
        </w:r>
        <w:r w:rsidR="00AB1C3A">
          <w:rPr>
            <w:noProof/>
            <w:webHidden/>
          </w:rPr>
          <w:tab/>
        </w:r>
        <w:r w:rsidR="00AB1C3A">
          <w:rPr>
            <w:noProof/>
            <w:webHidden/>
          </w:rPr>
          <w:fldChar w:fldCharType="begin"/>
        </w:r>
        <w:r w:rsidR="00AB1C3A">
          <w:rPr>
            <w:noProof/>
            <w:webHidden/>
          </w:rPr>
          <w:instrText xml:space="preserve"> PAGEREF _Toc34319836 \h </w:instrText>
        </w:r>
        <w:r w:rsidR="00AB1C3A">
          <w:rPr>
            <w:noProof/>
            <w:webHidden/>
          </w:rPr>
        </w:r>
        <w:r w:rsidR="00AB1C3A">
          <w:rPr>
            <w:noProof/>
            <w:webHidden/>
          </w:rPr>
          <w:fldChar w:fldCharType="separate"/>
        </w:r>
        <w:r w:rsidR="00AB1C3A">
          <w:rPr>
            <w:noProof/>
            <w:webHidden/>
          </w:rPr>
          <w:t>14</w:t>
        </w:r>
        <w:r w:rsidR="00AB1C3A">
          <w:rPr>
            <w:noProof/>
            <w:webHidden/>
          </w:rPr>
          <w:fldChar w:fldCharType="end"/>
        </w:r>
      </w:hyperlink>
    </w:p>
    <w:p w14:paraId="7533798E" w14:textId="3775D35D" w:rsidR="00AB1C3A" w:rsidRDefault="00DD7092">
      <w:pPr>
        <w:pStyle w:val="TDC3"/>
        <w:rPr>
          <w:rFonts w:asciiTheme="minorHAnsi" w:eastAsiaTheme="minorEastAsia" w:hAnsiTheme="minorHAnsi" w:cstheme="minorBidi"/>
          <w:caps w:val="0"/>
          <w:noProof/>
          <w:sz w:val="22"/>
          <w:szCs w:val="22"/>
          <w:lang w:eastAsia="es-CL"/>
        </w:rPr>
      </w:pPr>
      <w:hyperlink w:anchor="_Toc34319837" w:history="1">
        <w:r w:rsidR="00AB1C3A" w:rsidRPr="0003248B">
          <w:rPr>
            <w:rStyle w:val="Hipervnculo"/>
            <w:noProof/>
          </w:rPr>
          <w:t>6.2.</w:t>
        </w:r>
        <w:r w:rsidR="00AB1C3A">
          <w:rPr>
            <w:rFonts w:asciiTheme="minorHAnsi" w:eastAsiaTheme="minorEastAsia" w:hAnsiTheme="minorHAnsi" w:cstheme="minorBidi"/>
            <w:caps w:val="0"/>
            <w:noProof/>
            <w:sz w:val="22"/>
            <w:szCs w:val="22"/>
            <w:lang w:eastAsia="es-CL"/>
          </w:rPr>
          <w:tab/>
        </w:r>
        <w:r w:rsidR="00AB1C3A" w:rsidRPr="0003248B">
          <w:rPr>
            <w:rStyle w:val="Hipervnculo"/>
            <w:noProof/>
          </w:rPr>
          <w:t>PRUEBAS DE VERIFICACIÓN</w:t>
        </w:r>
        <w:r w:rsidR="00AB1C3A">
          <w:rPr>
            <w:noProof/>
            <w:webHidden/>
          </w:rPr>
          <w:tab/>
        </w:r>
        <w:r w:rsidR="00AB1C3A">
          <w:rPr>
            <w:noProof/>
            <w:webHidden/>
          </w:rPr>
          <w:fldChar w:fldCharType="begin"/>
        </w:r>
        <w:r w:rsidR="00AB1C3A">
          <w:rPr>
            <w:noProof/>
            <w:webHidden/>
          </w:rPr>
          <w:instrText xml:space="preserve"> PAGEREF _Toc34319837 \h </w:instrText>
        </w:r>
        <w:r w:rsidR="00AB1C3A">
          <w:rPr>
            <w:noProof/>
            <w:webHidden/>
          </w:rPr>
        </w:r>
        <w:r w:rsidR="00AB1C3A">
          <w:rPr>
            <w:noProof/>
            <w:webHidden/>
          </w:rPr>
          <w:fldChar w:fldCharType="separate"/>
        </w:r>
        <w:r w:rsidR="00AB1C3A">
          <w:rPr>
            <w:noProof/>
            <w:webHidden/>
          </w:rPr>
          <w:t>14</w:t>
        </w:r>
        <w:r w:rsidR="00AB1C3A">
          <w:rPr>
            <w:noProof/>
            <w:webHidden/>
          </w:rPr>
          <w:fldChar w:fldCharType="end"/>
        </w:r>
      </w:hyperlink>
    </w:p>
    <w:p w14:paraId="52CB270F" w14:textId="672D2397" w:rsidR="00AB1C3A" w:rsidRDefault="00DD7092">
      <w:pPr>
        <w:pStyle w:val="TDC2"/>
        <w:rPr>
          <w:rFonts w:asciiTheme="minorHAnsi" w:eastAsiaTheme="minorEastAsia" w:hAnsiTheme="minorHAnsi" w:cstheme="minorBidi"/>
          <w:bCs w:val="0"/>
          <w:sz w:val="22"/>
          <w:szCs w:val="22"/>
          <w:lang w:eastAsia="es-CL"/>
        </w:rPr>
      </w:pPr>
      <w:hyperlink w:anchor="_Toc34319838" w:history="1">
        <w:r w:rsidR="00AB1C3A" w:rsidRPr="0003248B">
          <w:rPr>
            <w:rStyle w:val="Hipervnculo"/>
          </w:rPr>
          <w:t>7.</w:t>
        </w:r>
        <w:r w:rsidR="00AB1C3A">
          <w:rPr>
            <w:rFonts w:asciiTheme="minorHAnsi" w:eastAsiaTheme="minorEastAsia" w:hAnsiTheme="minorHAnsi" w:cstheme="minorBidi"/>
            <w:bCs w:val="0"/>
            <w:sz w:val="22"/>
            <w:szCs w:val="22"/>
            <w:lang w:eastAsia="es-CL"/>
          </w:rPr>
          <w:tab/>
        </w:r>
        <w:r w:rsidR="00AB1C3A" w:rsidRPr="0003248B">
          <w:rPr>
            <w:rStyle w:val="Hipervnculo"/>
          </w:rPr>
          <w:t>PLAN DE DEFENSA CONTRA CONTINGENCIAS EXTREMAS (PDCE)</w:t>
        </w:r>
        <w:r w:rsidR="00AB1C3A">
          <w:rPr>
            <w:webHidden/>
          </w:rPr>
          <w:tab/>
        </w:r>
        <w:r w:rsidR="00AB1C3A">
          <w:rPr>
            <w:webHidden/>
          </w:rPr>
          <w:fldChar w:fldCharType="begin"/>
        </w:r>
        <w:r w:rsidR="00AB1C3A">
          <w:rPr>
            <w:webHidden/>
          </w:rPr>
          <w:instrText xml:space="preserve"> PAGEREF _Toc34319838 \h </w:instrText>
        </w:r>
        <w:r w:rsidR="00AB1C3A">
          <w:rPr>
            <w:webHidden/>
          </w:rPr>
        </w:r>
        <w:r w:rsidR="00AB1C3A">
          <w:rPr>
            <w:webHidden/>
          </w:rPr>
          <w:fldChar w:fldCharType="separate"/>
        </w:r>
        <w:r w:rsidR="00AB1C3A">
          <w:rPr>
            <w:webHidden/>
          </w:rPr>
          <w:t>16</w:t>
        </w:r>
        <w:r w:rsidR="00AB1C3A">
          <w:rPr>
            <w:webHidden/>
          </w:rPr>
          <w:fldChar w:fldCharType="end"/>
        </w:r>
      </w:hyperlink>
    </w:p>
    <w:p w14:paraId="56A648A2" w14:textId="58166B12" w:rsidR="00AB1C3A" w:rsidRDefault="00DD7092">
      <w:pPr>
        <w:pStyle w:val="TDC2"/>
        <w:rPr>
          <w:rFonts w:asciiTheme="minorHAnsi" w:eastAsiaTheme="minorEastAsia" w:hAnsiTheme="minorHAnsi" w:cstheme="minorBidi"/>
          <w:bCs w:val="0"/>
          <w:sz w:val="22"/>
          <w:szCs w:val="22"/>
          <w:lang w:eastAsia="es-CL"/>
        </w:rPr>
      </w:pPr>
      <w:hyperlink w:anchor="_Toc34319839" w:history="1">
        <w:r w:rsidR="00AB1C3A" w:rsidRPr="0003248B">
          <w:rPr>
            <w:rStyle w:val="Hipervnculo"/>
          </w:rPr>
          <w:t>8.</w:t>
        </w:r>
        <w:r w:rsidR="00AB1C3A">
          <w:rPr>
            <w:rFonts w:asciiTheme="minorHAnsi" w:eastAsiaTheme="minorEastAsia" w:hAnsiTheme="minorHAnsi" w:cstheme="minorBidi"/>
            <w:bCs w:val="0"/>
            <w:sz w:val="22"/>
            <w:szCs w:val="22"/>
            <w:lang w:eastAsia="es-CL"/>
          </w:rPr>
          <w:tab/>
        </w:r>
        <w:r w:rsidR="00AB1C3A" w:rsidRPr="0003248B">
          <w:rPr>
            <w:rStyle w:val="Hipervnculo"/>
          </w:rPr>
          <w:t>COMPENSACIÓN REACTIVA</w:t>
        </w:r>
        <w:r w:rsidR="00AB1C3A">
          <w:rPr>
            <w:webHidden/>
          </w:rPr>
          <w:tab/>
        </w:r>
        <w:r w:rsidR="00AB1C3A">
          <w:rPr>
            <w:webHidden/>
          </w:rPr>
          <w:fldChar w:fldCharType="begin"/>
        </w:r>
        <w:r w:rsidR="00AB1C3A">
          <w:rPr>
            <w:webHidden/>
          </w:rPr>
          <w:instrText xml:space="preserve"> PAGEREF _Toc34319839 \h </w:instrText>
        </w:r>
        <w:r w:rsidR="00AB1C3A">
          <w:rPr>
            <w:webHidden/>
          </w:rPr>
        </w:r>
        <w:r w:rsidR="00AB1C3A">
          <w:rPr>
            <w:webHidden/>
          </w:rPr>
          <w:fldChar w:fldCharType="separate"/>
        </w:r>
        <w:r w:rsidR="00AB1C3A">
          <w:rPr>
            <w:webHidden/>
          </w:rPr>
          <w:t>18</w:t>
        </w:r>
        <w:r w:rsidR="00AB1C3A">
          <w:rPr>
            <w:webHidden/>
          </w:rPr>
          <w:fldChar w:fldCharType="end"/>
        </w:r>
      </w:hyperlink>
    </w:p>
    <w:p w14:paraId="443D550E" w14:textId="2CBE29C1" w:rsidR="00AB1C3A" w:rsidRDefault="00DD7092">
      <w:pPr>
        <w:pStyle w:val="TDC2"/>
        <w:rPr>
          <w:rFonts w:asciiTheme="minorHAnsi" w:eastAsiaTheme="minorEastAsia" w:hAnsiTheme="minorHAnsi" w:cstheme="minorBidi"/>
          <w:bCs w:val="0"/>
          <w:sz w:val="22"/>
          <w:szCs w:val="22"/>
          <w:lang w:eastAsia="es-CL"/>
        </w:rPr>
      </w:pPr>
      <w:hyperlink w:anchor="_Toc34319840" w:history="1">
        <w:r w:rsidR="00AB1C3A" w:rsidRPr="0003248B">
          <w:rPr>
            <w:rStyle w:val="Hipervnculo"/>
          </w:rPr>
          <w:t>9.</w:t>
        </w:r>
        <w:r w:rsidR="00AB1C3A">
          <w:rPr>
            <w:rFonts w:asciiTheme="minorHAnsi" w:eastAsiaTheme="minorEastAsia" w:hAnsiTheme="minorHAnsi" w:cstheme="minorBidi"/>
            <w:bCs w:val="0"/>
            <w:sz w:val="22"/>
            <w:szCs w:val="22"/>
            <w:lang w:eastAsia="es-CL"/>
          </w:rPr>
          <w:tab/>
        </w:r>
        <w:r w:rsidR="00AB1C3A" w:rsidRPr="0003248B">
          <w:rPr>
            <w:rStyle w:val="Hipervnculo"/>
          </w:rPr>
          <w:t>INDISPONIBILIDAD PROGRAMADA Y FORZADA</w:t>
        </w:r>
        <w:r w:rsidR="00AB1C3A">
          <w:rPr>
            <w:webHidden/>
          </w:rPr>
          <w:tab/>
        </w:r>
        <w:r w:rsidR="00AB1C3A">
          <w:rPr>
            <w:webHidden/>
          </w:rPr>
          <w:fldChar w:fldCharType="begin"/>
        </w:r>
        <w:r w:rsidR="00AB1C3A">
          <w:rPr>
            <w:webHidden/>
          </w:rPr>
          <w:instrText xml:space="preserve"> PAGEREF _Toc34319840 \h </w:instrText>
        </w:r>
        <w:r w:rsidR="00AB1C3A">
          <w:rPr>
            <w:webHidden/>
          </w:rPr>
        </w:r>
        <w:r w:rsidR="00AB1C3A">
          <w:rPr>
            <w:webHidden/>
          </w:rPr>
          <w:fldChar w:fldCharType="separate"/>
        </w:r>
        <w:r w:rsidR="00AB1C3A">
          <w:rPr>
            <w:webHidden/>
          </w:rPr>
          <w:t>19</w:t>
        </w:r>
        <w:r w:rsidR="00AB1C3A">
          <w:rPr>
            <w:webHidden/>
          </w:rPr>
          <w:fldChar w:fldCharType="end"/>
        </w:r>
      </w:hyperlink>
    </w:p>
    <w:p w14:paraId="7FF4CAA1" w14:textId="76562851" w:rsidR="00AB1C3A" w:rsidRDefault="00DD7092">
      <w:pPr>
        <w:pStyle w:val="TDC3"/>
        <w:rPr>
          <w:rFonts w:asciiTheme="minorHAnsi" w:eastAsiaTheme="minorEastAsia" w:hAnsiTheme="minorHAnsi" w:cstheme="minorBidi"/>
          <w:caps w:val="0"/>
          <w:noProof/>
          <w:sz w:val="22"/>
          <w:szCs w:val="22"/>
          <w:lang w:eastAsia="es-CL"/>
        </w:rPr>
      </w:pPr>
      <w:hyperlink w:anchor="_Toc34319841" w:history="1">
        <w:r w:rsidR="00AB1C3A" w:rsidRPr="0003248B">
          <w:rPr>
            <w:rStyle w:val="Hipervnculo"/>
            <w:noProof/>
          </w:rPr>
          <w:t>9.1.</w:t>
        </w:r>
        <w:r w:rsidR="00AB1C3A">
          <w:rPr>
            <w:rFonts w:asciiTheme="minorHAnsi" w:eastAsiaTheme="minorEastAsia" w:hAnsiTheme="minorHAnsi" w:cstheme="minorBidi"/>
            <w:caps w:val="0"/>
            <w:noProof/>
            <w:sz w:val="22"/>
            <w:szCs w:val="22"/>
            <w:lang w:eastAsia="es-CL"/>
          </w:rPr>
          <w:tab/>
        </w:r>
        <w:r w:rsidR="00AB1C3A" w:rsidRPr="0003248B">
          <w:rPr>
            <w:rStyle w:val="Hipervnculo"/>
            <w:noProof/>
          </w:rPr>
          <w:t>RESUMEN DE GENERACIÓN</w:t>
        </w:r>
        <w:r w:rsidR="00AB1C3A">
          <w:rPr>
            <w:noProof/>
            <w:webHidden/>
          </w:rPr>
          <w:tab/>
        </w:r>
        <w:r w:rsidR="00AB1C3A">
          <w:rPr>
            <w:noProof/>
            <w:webHidden/>
          </w:rPr>
          <w:fldChar w:fldCharType="begin"/>
        </w:r>
        <w:r w:rsidR="00AB1C3A">
          <w:rPr>
            <w:noProof/>
            <w:webHidden/>
          </w:rPr>
          <w:instrText xml:space="preserve"> PAGEREF _Toc34319841 \h </w:instrText>
        </w:r>
        <w:r w:rsidR="00AB1C3A">
          <w:rPr>
            <w:noProof/>
            <w:webHidden/>
          </w:rPr>
        </w:r>
        <w:r w:rsidR="00AB1C3A">
          <w:rPr>
            <w:noProof/>
            <w:webHidden/>
          </w:rPr>
          <w:fldChar w:fldCharType="separate"/>
        </w:r>
        <w:r w:rsidR="00AB1C3A">
          <w:rPr>
            <w:noProof/>
            <w:webHidden/>
          </w:rPr>
          <w:t>19</w:t>
        </w:r>
        <w:r w:rsidR="00AB1C3A">
          <w:rPr>
            <w:noProof/>
            <w:webHidden/>
          </w:rPr>
          <w:fldChar w:fldCharType="end"/>
        </w:r>
      </w:hyperlink>
    </w:p>
    <w:p w14:paraId="6D0E8CCE" w14:textId="46BC66B1" w:rsidR="00AB1C3A" w:rsidRDefault="00DD7092">
      <w:pPr>
        <w:pStyle w:val="TDC3"/>
        <w:rPr>
          <w:rFonts w:asciiTheme="minorHAnsi" w:eastAsiaTheme="minorEastAsia" w:hAnsiTheme="minorHAnsi" w:cstheme="minorBidi"/>
          <w:caps w:val="0"/>
          <w:noProof/>
          <w:sz w:val="22"/>
          <w:szCs w:val="22"/>
          <w:lang w:eastAsia="es-CL"/>
        </w:rPr>
      </w:pPr>
      <w:hyperlink w:anchor="_Toc34319842" w:history="1">
        <w:r w:rsidR="00AB1C3A" w:rsidRPr="0003248B">
          <w:rPr>
            <w:rStyle w:val="Hipervnculo"/>
            <w:noProof/>
          </w:rPr>
          <w:t>9.2.</w:t>
        </w:r>
        <w:r w:rsidR="00AB1C3A">
          <w:rPr>
            <w:rFonts w:asciiTheme="minorHAnsi" w:eastAsiaTheme="minorEastAsia" w:hAnsiTheme="minorHAnsi" w:cstheme="minorBidi"/>
            <w:caps w:val="0"/>
            <w:noProof/>
            <w:sz w:val="22"/>
            <w:szCs w:val="22"/>
            <w:lang w:eastAsia="es-CL"/>
          </w:rPr>
          <w:tab/>
        </w:r>
        <w:r w:rsidR="00AB1C3A" w:rsidRPr="0003248B">
          <w:rPr>
            <w:rStyle w:val="Hipervnculo"/>
            <w:noProof/>
          </w:rPr>
          <w:t>RESUMEN DE TRANSMISIÓN</w:t>
        </w:r>
        <w:r w:rsidR="00AB1C3A">
          <w:rPr>
            <w:noProof/>
            <w:webHidden/>
          </w:rPr>
          <w:tab/>
        </w:r>
        <w:r w:rsidR="00AB1C3A">
          <w:rPr>
            <w:noProof/>
            <w:webHidden/>
          </w:rPr>
          <w:fldChar w:fldCharType="begin"/>
        </w:r>
        <w:r w:rsidR="00AB1C3A">
          <w:rPr>
            <w:noProof/>
            <w:webHidden/>
          </w:rPr>
          <w:instrText xml:space="preserve"> PAGEREF _Toc34319842 \h </w:instrText>
        </w:r>
        <w:r w:rsidR="00AB1C3A">
          <w:rPr>
            <w:noProof/>
            <w:webHidden/>
          </w:rPr>
        </w:r>
        <w:r w:rsidR="00AB1C3A">
          <w:rPr>
            <w:noProof/>
            <w:webHidden/>
          </w:rPr>
          <w:fldChar w:fldCharType="separate"/>
        </w:r>
        <w:r w:rsidR="00AB1C3A">
          <w:rPr>
            <w:noProof/>
            <w:webHidden/>
          </w:rPr>
          <w:t>21</w:t>
        </w:r>
        <w:r w:rsidR="00AB1C3A">
          <w:rPr>
            <w:noProof/>
            <w:webHidden/>
          </w:rPr>
          <w:fldChar w:fldCharType="end"/>
        </w:r>
      </w:hyperlink>
    </w:p>
    <w:p w14:paraId="623CA0A9" w14:textId="75709DA8" w:rsidR="00AB1C3A" w:rsidRDefault="00DD7092">
      <w:pPr>
        <w:pStyle w:val="TDC2"/>
        <w:rPr>
          <w:rFonts w:asciiTheme="minorHAnsi" w:eastAsiaTheme="minorEastAsia" w:hAnsiTheme="minorHAnsi" w:cstheme="minorBidi"/>
          <w:bCs w:val="0"/>
          <w:sz w:val="22"/>
          <w:szCs w:val="22"/>
          <w:lang w:eastAsia="es-CL"/>
        </w:rPr>
      </w:pPr>
      <w:hyperlink w:anchor="_Toc34319843" w:history="1">
        <w:r w:rsidR="00AB1C3A" w:rsidRPr="0003248B">
          <w:rPr>
            <w:rStyle w:val="Hipervnculo"/>
          </w:rPr>
          <w:t>10.</w:t>
        </w:r>
        <w:r w:rsidR="00AB1C3A">
          <w:rPr>
            <w:rFonts w:asciiTheme="minorHAnsi" w:eastAsiaTheme="minorEastAsia" w:hAnsiTheme="minorHAnsi" w:cstheme="minorBidi"/>
            <w:bCs w:val="0"/>
            <w:sz w:val="22"/>
            <w:szCs w:val="22"/>
            <w:lang w:eastAsia="es-CL"/>
          </w:rPr>
          <w:tab/>
        </w:r>
        <w:r w:rsidR="00AB1C3A" w:rsidRPr="0003248B">
          <w:rPr>
            <w:rStyle w:val="Hipervnculo"/>
          </w:rPr>
          <w:t>SISTEMA DE MEDIDAS DE TRANSFERENCIAS ECONÓMICAS</w:t>
        </w:r>
        <w:r w:rsidR="00AB1C3A">
          <w:rPr>
            <w:webHidden/>
          </w:rPr>
          <w:tab/>
        </w:r>
        <w:r w:rsidR="00AB1C3A">
          <w:rPr>
            <w:webHidden/>
          </w:rPr>
          <w:fldChar w:fldCharType="begin"/>
        </w:r>
        <w:r w:rsidR="00AB1C3A">
          <w:rPr>
            <w:webHidden/>
          </w:rPr>
          <w:instrText xml:space="preserve"> PAGEREF _Toc34319843 \h </w:instrText>
        </w:r>
        <w:r w:rsidR="00AB1C3A">
          <w:rPr>
            <w:webHidden/>
          </w:rPr>
        </w:r>
        <w:r w:rsidR="00AB1C3A">
          <w:rPr>
            <w:webHidden/>
          </w:rPr>
          <w:fldChar w:fldCharType="separate"/>
        </w:r>
        <w:r w:rsidR="00AB1C3A">
          <w:rPr>
            <w:webHidden/>
          </w:rPr>
          <w:t>28</w:t>
        </w:r>
        <w:r w:rsidR="00AB1C3A">
          <w:rPr>
            <w:webHidden/>
          </w:rPr>
          <w:fldChar w:fldCharType="end"/>
        </w:r>
      </w:hyperlink>
    </w:p>
    <w:p w14:paraId="32C5B6D7" w14:textId="113D7C5C" w:rsidR="00084B29" w:rsidRPr="00AB61FB" w:rsidRDefault="00EB65FA" w:rsidP="00537FFE">
      <w:pPr>
        <w:rPr>
          <w:noProof/>
          <w:sz w:val="32"/>
        </w:rPr>
      </w:pPr>
      <w:r w:rsidRPr="00AB61FB">
        <w:rPr>
          <w:noProof/>
          <w:sz w:val="32"/>
        </w:rPr>
        <w:fldChar w:fldCharType="end"/>
      </w:r>
      <w:bookmarkStart w:id="1" w:name="_Toc469914984"/>
      <w:bookmarkStart w:id="2" w:name="_Toc469921237"/>
      <w:bookmarkStart w:id="3" w:name="_Toc469922696"/>
      <w:bookmarkStart w:id="4" w:name="_Toc472091066"/>
      <w:bookmarkStart w:id="5" w:name="_Toc472091132"/>
      <w:bookmarkStart w:id="6" w:name="_Toc472091183"/>
      <w:bookmarkStart w:id="7" w:name="_Toc472091232"/>
      <w:r w:rsidR="00084B29" w:rsidRPr="00AB61FB">
        <w:br w:type="page"/>
      </w:r>
    </w:p>
    <w:p w14:paraId="66041485" w14:textId="77777777" w:rsidR="00A8688A" w:rsidRPr="009223AA" w:rsidRDefault="00E30402" w:rsidP="00007E51">
      <w:pPr>
        <w:pStyle w:val="Ttulo1"/>
      </w:pPr>
      <w:bookmarkStart w:id="8" w:name="_Toc472093700"/>
      <w:bookmarkStart w:id="9" w:name="_Toc472328273"/>
      <w:bookmarkStart w:id="10" w:name="_Toc34319826"/>
      <w:r w:rsidRPr="009223AA">
        <w:lastRenderedPageBreak/>
        <w:t>INTRODUCCIÓN</w:t>
      </w:r>
      <w:bookmarkEnd w:id="1"/>
      <w:bookmarkEnd w:id="2"/>
      <w:bookmarkEnd w:id="3"/>
      <w:bookmarkEnd w:id="4"/>
      <w:bookmarkEnd w:id="5"/>
      <w:bookmarkEnd w:id="6"/>
      <w:bookmarkEnd w:id="7"/>
      <w:bookmarkEnd w:id="8"/>
      <w:bookmarkEnd w:id="9"/>
      <w:bookmarkEnd w:id="10"/>
    </w:p>
    <w:p w14:paraId="459417EB" w14:textId="77777777" w:rsidR="002F5BB5" w:rsidRPr="003A69C2" w:rsidRDefault="002F5BB5" w:rsidP="003A69C2">
      <w:pPr>
        <w:spacing w:before="0" w:after="0"/>
        <w:rPr>
          <w:sz w:val="16"/>
        </w:rPr>
        <w:sectPr w:rsidR="002F5BB5" w:rsidRPr="003A69C2" w:rsidSect="00ED273D">
          <w:headerReference w:type="default" r:id="rId8"/>
          <w:footerReference w:type="default" r:id="rId9"/>
          <w:headerReference w:type="first" r:id="rId10"/>
          <w:pgSz w:w="12240" w:h="15840"/>
          <w:pgMar w:top="1134" w:right="902" w:bottom="1418" w:left="1701" w:header="227" w:footer="709" w:gutter="0"/>
          <w:cols w:space="708"/>
          <w:titlePg/>
          <w:docGrid w:linePitch="360"/>
        </w:sectPr>
      </w:pPr>
    </w:p>
    <w:p w14:paraId="5D6677E6" w14:textId="12F6A279" w:rsidR="003A06F5" w:rsidRPr="009223AA" w:rsidRDefault="003A06F5" w:rsidP="003A69C2">
      <w:pPr>
        <w:spacing w:before="0"/>
        <w:rPr>
          <w:szCs w:val="22"/>
        </w:rPr>
      </w:pPr>
      <w:r w:rsidRPr="009223AA">
        <w:rPr>
          <w:szCs w:val="22"/>
        </w:rPr>
        <w:t>De acuerdo a lo establecido en el Artículo 1-1</w:t>
      </w:r>
      <w:r w:rsidR="009223AA" w:rsidRPr="009223AA">
        <w:rPr>
          <w:szCs w:val="22"/>
        </w:rPr>
        <w:t>4</w:t>
      </w:r>
      <w:r w:rsidRPr="009223AA">
        <w:rPr>
          <w:szCs w:val="22"/>
        </w:rPr>
        <w:t xml:space="preserve"> de la Norma Técnica de Seguridad y Calidad de Servicio (NTSyCS)</w:t>
      </w:r>
      <w:r w:rsidR="009223AA" w:rsidRPr="009223AA">
        <w:rPr>
          <w:szCs w:val="22"/>
        </w:rPr>
        <w:t xml:space="preserve"> de </w:t>
      </w:r>
      <w:r w:rsidR="0058200B">
        <w:rPr>
          <w:szCs w:val="22"/>
        </w:rPr>
        <w:t>enero 2020</w:t>
      </w:r>
      <w:r w:rsidRPr="009223AA">
        <w:rPr>
          <w:szCs w:val="22"/>
        </w:rPr>
        <w:t xml:space="preserve">, </w:t>
      </w:r>
      <w:r w:rsidR="002E314F" w:rsidRPr="009223AA">
        <w:rPr>
          <w:szCs w:val="22"/>
        </w:rPr>
        <w:t>el Coordinador Eléctrico Nacional</w:t>
      </w:r>
      <w:r w:rsidR="009223AA" w:rsidRPr="009223AA">
        <w:rPr>
          <w:szCs w:val="22"/>
        </w:rPr>
        <w:t xml:space="preserve"> </w:t>
      </w:r>
      <w:r w:rsidRPr="009223AA">
        <w:rPr>
          <w:szCs w:val="22"/>
        </w:rPr>
        <w:t>debe informar dentro del primer trimestre de cada año a la SEC el grado de cumplimiento de cada Coordinado</w:t>
      </w:r>
      <w:r w:rsidR="00FB4AD7" w:rsidRPr="009223AA">
        <w:rPr>
          <w:szCs w:val="22"/>
        </w:rPr>
        <w:t xml:space="preserve"> del Sistema Eléctrico Nacional, </w:t>
      </w:r>
      <w:r w:rsidR="00BB5DDA" w:rsidRPr="009223AA">
        <w:rPr>
          <w:szCs w:val="22"/>
        </w:rPr>
        <w:t>razón por la cual pone a su disposición el presente</w:t>
      </w:r>
      <w:r w:rsidR="000173D6" w:rsidRPr="009223AA">
        <w:rPr>
          <w:szCs w:val="22"/>
        </w:rPr>
        <w:t xml:space="preserve"> Informe Anual de Cumplimientos, referidos a:</w:t>
      </w:r>
    </w:p>
    <w:p w14:paraId="3F12911D" w14:textId="77777777" w:rsidR="003A06F5" w:rsidRPr="00732F0D" w:rsidRDefault="003A06F5" w:rsidP="00BA7CE9">
      <w:pPr>
        <w:pStyle w:val="Prrafodelista"/>
        <w:numPr>
          <w:ilvl w:val="0"/>
          <w:numId w:val="24"/>
        </w:numPr>
        <w:rPr>
          <w:rFonts w:cs="Times New Roman"/>
          <w:sz w:val="21"/>
          <w:szCs w:val="21"/>
        </w:rPr>
      </w:pPr>
      <w:r w:rsidRPr="00732F0D">
        <w:rPr>
          <w:rFonts w:cs="Times New Roman"/>
          <w:sz w:val="21"/>
          <w:szCs w:val="21"/>
        </w:rPr>
        <w:t>Tiempos de actualización de la información requerida para el Sistema de Información en Tiempo Real y disponibilidad de la misma.</w:t>
      </w:r>
    </w:p>
    <w:p w14:paraId="4655E837" w14:textId="77777777" w:rsidR="003A06F5" w:rsidRPr="00732F0D" w:rsidRDefault="003A06F5" w:rsidP="00BA7CE9">
      <w:pPr>
        <w:pStyle w:val="Prrafodelista"/>
        <w:numPr>
          <w:ilvl w:val="0"/>
          <w:numId w:val="24"/>
        </w:numPr>
        <w:rPr>
          <w:rFonts w:cs="Times New Roman"/>
          <w:sz w:val="21"/>
          <w:szCs w:val="21"/>
        </w:rPr>
      </w:pPr>
      <w:r w:rsidRPr="00732F0D">
        <w:rPr>
          <w:rFonts w:cs="Times New Roman"/>
          <w:sz w:val="21"/>
          <w:szCs w:val="21"/>
        </w:rPr>
        <w:t>Disponibilidad de los Canales de Voz con los Centros de Control (CC).</w:t>
      </w:r>
    </w:p>
    <w:p w14:paraId="68BA6849" w14:textId="77777777" w:rsidR="003A06F5" w:rsidRPr="00732F0D" w:rsidRDefault="003A06F5" w:rsidP="00BA7CE9">
      <w:pPr>
        <w:pStyle w:val="Prrafodelista"/>
        <w:numPr>
          <w:ilvl w:val="0"/>
          <w:numId w:val="24"/>
        </w:numPr>
        <w:rPr>
          <w:rFonts w:cs="Times New Roman"/>
          <w:sz w:val="21"/>
          <w:szCs w:val="21"/>
        </w:rPr>
      </w:pPr>
      <w:r w:rsidRPr="00732F0D">
        <w:rPr>
          <w:rFonts w:cs="Times New Roman"/>
          <w:sz w:val="21"/>
          <w:szCs w:val="21"/>
        </w:rPr>
        <w:t>Disponibilidad de los canales de teleprotección.</w:t>
      </w:r>
    </w:p>
    <w:p w14:paraId="523F9E59" w14:textId="77777777" w:rsidR="003A06F5" w:rsidRPr="00732F0D" w:rsidRDefault="003A06F5" w:rsidP="00BA7CE9">
      <w:pPr>
        <w:pStyle w:val="Prrafodelista"/>
        <w:numPr>
          <w:ilvl w:val="0"/>
          <w:numId w:val="24"/>
        </w:numPr>
        <w:rPr>
          <w:rFonts w:cs="Times New Roman"/>
          <w:sz w:val="21"/>
          <w:szCs w:val="21"/>
        </w:rPr>
      </w:pPr>
      <w:r w:rsidRPr="00732F0D">
        <w:rPr>
          <w:rFonts w:cs="Times New Roman"/>
          <w:sz w:val="21"/>
          <w:szCs w:val="21"/>
        </w:rPr>
        <w:t>Implementación de EDAC, EDAG y ERAG y Sistemas de Protección Multiárea solicitados.</w:t>
      </w:r>
    </w:p>
    <w:p w14:paraId="6DAA9066" w14:textId="77777777" w:rsidR="003A06F5" w:rsidRPr="00732F0D" w:rsidRDefault="003A06F5" w:rsidP="00BA7CE9">
      <w:pPr>
        <w:pStyle w:val="Prrafodelista"/>
        <w:numPr>
          <w:ilvl w:val="0"/>
          <w:numId w:val="24"/>
        </w:numPr>
        <w:rPr>
          <w:rFonts w:cs="Times New Roman"/>
          <w:sz w:val="21"/>
          <w:szCs w:val="21"/>
        </w:rPr>
      </w:pPr>
      <w:r w:rsidRPr="00732F0D">
        <w:rPr>
          <w:rFonts w:cs="Times New Roman"/>
          <w:sz w:val="21"/>
          <w:szCs w:val="21"/>
        </w:rPr>
        <w:t>Entrega de información técnica y calidad de la misma.</w:t>
      </w:r>
    </w:p>
    <w:p w14:paraId="4372919D" w14:textId="77777777" w:rsidR="003A06F5" w:rsidRPr="00732F0D" w:rsidRDefault="003A06F5" w:rsidP="00BA7CE9">
      <w:pPr>
        <w:pStyle w:val="Prrafodelista"/>
        <w:numPr>
          <w:ilvl w:val="0"/>
          <w:numId w:val="24"/>
        </w:numPr>
        <w:rPr>
          <w:rFonts w:cs="Times New Roman"/>
          <w:sz w:val="21"/>
          <w:szCs w:val="21"/>
        </w:rPr>
      </w:pPr>
      <w:r w:rsidRPr="00732F0D">
        <w:rPr>
          <w:rFonts w:cs="Times New Roman"/>
          <w:sz w:val="21"/>
          <w:szCs w:val="21"/>
        </w:rPr>
        <w:t>Implementación de los Planes de Recuperación de Servicio.</w:t>
      </w:r>
    </w:p>
    <w:p w14:paraId="1D4917EB" w14:textId="77777777" w:rsidR="003A06F5" w:rsidRPr="00732F0D" w:rsidRDefault="003A06F5" w:rsidP="00BA7CE9">
      <w:pPr>
        <w:pStyle w:val="Prrafodelista"/>
        <w:numPr>
          <w:ilvl w:val="0"/>
          <w:numId w:val="24"/>
        </w:numPr>
        <w:rPr>
          <w:rFonts w:cs="Times New Roman"/>
          <w:sz w:val="21"/>
          <w:szCs w:val="21"/>
        </w:rPr>
      </w:pPr>
      <w:r w:rsidRPr="00732F0D">
        <w:rPr>
          <w:rFonts w:cs="Times New Roman"/>
          <w:sz w:val="21"/>
          <w:szCs w:val="21"/>
        </w:rPr>
        <w:t>Implementación de los Planes de Defensa contra Contingencias Extremas.</w:t>
      </w:r>
    </w:p>
    <w:p w14:paraId="18274AB8" w14:textId="77777777" w:rsidR="00BA7CE9" w:rsidRPr="00732F0D" w:rsidRDefault="003A06F5" w:rsidP="00BA7CE9">
      <w:pPr>
        <w:pStyle w:val="Prrafodelista"/>
        <w:numPr>
          <w:ilvl w:val="0"/>
          <w:numId w:val="24"/>
        </w:numPr>
        <w:rPr>
          <w:rFonts w:cs="Times New Roman"/>
          <w:sz w:val="21"/>
          <w:szCs w:val="21"/>
        </w:rPr>
      </w:pPr>
      <w:r w:rsidRPr="00732F0D">
        <w:rPr>
          <w:rFonts w:cs="Times New Roman"/>
          <w:sz w:val="21"/>
          <w:szCs w:val="21"/>
        </w:rPr>
        <w:t>Cumplimiento de exigencias de compensación reactiva de Sistemas de Subtransmisión y Adicionales.</w:t>
      </w:r>
    </w:p>
    <w:p w14:paraId="366A3F19" w14:textId="77777777" w:rsidR="003A06F5" w:rsidRPr="00732F0D" w:rsidRDefault="003A06F5" w:rsidP="00BA7CE9">
      <w:pPr>
        <w:pStyle w:val="Prrafodelista"/>
        <w:numPr>
          <w:ilvl w:val="0"/>
          <w:numId w:val="24"/>
        </w:numPr>
        <w:rPr>
          <w:rFonts w:cs="Times New Roman"/>
          <w:sz w:val="21"/>
          <w:szCs w:val="21"/>
        </w:rPr>
      </w:pPr>
      <w:r w:rsidRPr="00732F0D">
        <w:rPr>
          <w:rFonts w:cs="Times New Roman"/>
          <w:sz w:val="21"/>
          <w:szCs w:val="21"/>
        </w:rPr>
        <w:t>Cumplimiento de los estándares de Indisponibilidad programada y forzada aceptables de la Generación y de los Sistemas de Transmisión Troncal, Adicional y Subtransmisión.</w:t>
      </w:r>
    </w:p>
    <w:p w14:paraId="25037C26" w14:textId="77777777" w:rsidR="003A06F5" w:rsidRPr="009223AA" w:rsidRDefault="003A06F5" w:rsidP="00BA7CE9">
      <w:pPr>
        <w:rPr>
          <w:szCs w:val="22"/>
        </w:rPr>
      </w:pPr>
      <w:r w:rsidRPr="009223AA">
        <w:rPr>
          <w:szCs w:val="22"/>
        </w:rPr>
        <w:t>La información se adjunta al presente Informe en los formatos definidos para tales efectos, los cuales fueran aprobados mediante Resolución Exe</w:t>
      </w:r>
      <w:r w:rsidR="00BA7CE9" w:rsidRPr="009223AA">
        <w:rPr>
          <w:szCs w:val="22"/>
        </w:rPr>
        <w:t>nta CNE Nº 879, de fecha 30 de d</w:t>
      </w:r>
      <w:r w:rsidRPr="009223AA">
        <w:rPr>
          <w:szCs w:val="22"/>
        </w:rPr>
        <w:t>iciembre de 2010.</w:t>
      </w:r>
    </w:p>
    <w:p w14:paraId="11BE7E05" w14:textId="25AB9C50" w:rsidR="00283A18" w:rsidRPr="003A69C2" w:rsidRDefault="003A06F5" w:rsidP="00BA7CE9">
      <w:pPr>
        <w:rPr>
          <w:szCs w:val="22"/>
        </w:rPr>
        <w:sectPr w:rsidR="00283A18" w:rsidRPr="003A69C2" w:rsidSect="003A06F5">
          <w:type w:val="continuous"/>
          <w:pgSz w:w="12240" w:h="15840"/>
          <w:pgMar w:top="1134" w:right="902" w:bottom="1418" w:left="1701" w:header="709" w:footer="709" w:gutter="0"/>
          <w:cols w:space="708"/>
          <w:docGrid w:linePitch="360"/>
        </w:sectPr>
      </w:pPr>
      <w:r w:rsidRPr="009223AA">
        <w:rPr>
          <w:szCs w:val="22"/>
        </w:rPr>
        <w:t xml:space="preserve">En cumplimiento de lo anteriormente señalado, el presente Informe Anual de Cumplimientos de los Coordinados del </w:t>
      </w:r>
      <w:r w:rsidR="00BA7CE9" w:rsidRPr="009223AA">
        <w:rPr>
          <w:szCs w:val="22"/>
        </w:rPr>
        <w:t>Coordinador Eléctrico Nacional para el año 201</w:t>
      </w:r>
      <w:r w:rsidR="00D12116">
        <w:rPr>
          <w:szCs w:val="22"/>
        </w:rPr>
        <w:t>9</w:t>
      </w:r>
      <w:r w:rsidRPr="009223AA">
        <w:rPr>
          <w:szCs w:val="22"/>
        </w:rPr>
        <w:t xml:space="preserve">, incluye las materias definidas en los literales antes descritos y realiza una síntesis </w:t>
      </w:r>
      <w:r w:rsidR="004A4701" w:rsidRPr="009223AA">
        <w:rPr>
          <w:szCs w:val="22"/>
        </w:rPr>
        <w:t xml:space="preserve">general </w:t>
      </w:r>
      <w:r w:rsidRPr="009223AA">
        <w:rPr>
          <w:szCs w:val="22"/>
        </w:rPr>
        <w:t xml:space="preserve">de la evolución de los </w:t>
      </w:r>
      <w:r w:rsidR="004A4701" w:rsidRPr="009223AA">
        <w:rPr>
          <w:szCs w:val="22"/>
        </w:rPr>
        <w:t>cumplimientos de las exigencias, cuyo detalle se incluye en archivo anexo que se acompaña.</w:t>
      </w:r>
    </w:p>
    <w:p w14:paraId="53F552D8" w14:textId="77777777" w:rsidR="003671DE" w:rsidRPr="00944E5B" w:rsidRDefault="003671DE" w:rsidP="00BA7CE9">
      <w:pPr>
        <w:rPr>
          <w:color w:val="007DB1" w:themeColor="background1"/>
          <w:szCs w:val="22"/>
        </w:rPr>
        <w:sectPr w:rsidR="003671DE" w:rsidRPr="00944E5B" w:rsidSect="00976755">
          <w:type w:val="continuous"/>
          <w:pgSz w:w="12240" w:h="15840"/>
          <w:pgMar w:top="1134" w:right="902" w:bottom="1418" w:left="1701" w:header="709" w:footer="709" w:gutter="0"/>
          <w:cols w:num="2" w:space="708"/>
          <w:docGrid w:linePitch="360"/>
        </w:sectPr>
      </w:pPr>
    </w:p>
    <w:p w14:paraId="0577F7D2" w14:textId="77777777" w:rsidR="002A51D0" w:rsidRPr="00C16391" w:rsidRDefault="00E30402" w:rsidP="00007E51">
      <w:pPr>
        <w:pStyle w:val="Ttulo1"/>
      </w:pPr>
      <w:bookmarkStart w:id="11" w:name="_Toc469914985"/>
      <w:bookmarkStart w:id="12" w:name="_Toc469921238"/>
      <w:bookmarkStart w:id="13" w:name="_Toc469922697"/>
      <w:bookmarkStart w:id="14" w:name="_Toc472091067"/>
      <w:bookmarkStart w:id="15" w:name="_Toc472091133"/>
      <w:bookmarkStart w:id="16" w:name="_Toc472091184"/>
      <w:bookmarkStart w:id="17" w:name="_Toc472091233"/>
      <w:bookmarkStart w:id="18" w:name="_Toc472093701"/>
      <w:bookmarkStart w:id="19" w:name="_Toc472328274"/>
      <w:bookmarkStart w:id="20" w:name="_Toc34319827"/>
      <w:r w:rsidRPr="00C16391">
        <w:lastRenderedPageBreak/>
        <w:t>SISTEMA ELÉCTRICO NACIONAL (SEN)</w:t>
      </w:r>
      <w:bookmarkEnd w:id="11"/>
      <w:bookmarkEnd w:id="12"/>
      <w:bookmarkEnd w:id="13"/>
      <w:bookmarkEnd w:id="14"/>
      <w:bookmarkEnd w:id="15"/>
      <w:bookmarkEnd w:id="16"/>
      <w:bookmarkEnd w:id="17"/>
      <w:bookmarkEnd w:id="18"/>
      <w:bookmarkEnd w:id="19"/>
      <w:bookmarkEnd w:id="20"/>
    </w:p>
    <w:p w14:paraId="666AF47A" w14:textId="77777777" w:rsidR="009223AA" w:rsidRPr="00C16391" w:rsidRDefault="009223AA" w:rsidP="009223AA">
      <w:r w:rsidRPr="00C16391">
        <w:t xml:space="preserve">El Sistema Eléctrico Nacional, nace en el año 2017, en el momento en que </w:t>
      </w:r>
      <w:r w:rsidR="000B2E6F">
        <w:t>el</w:t>
      </w:r>
      <w:r w:rsidRPr="00C16391">
        <w:t xml:space="preserve"> </w:t>
      </w:r>
      <w:r w:rsidR="000B2E6F">
        <w:t>S</w:t>
      </w:r>
      <w:r w:rsidRPr="00C16391">
        <w:t xml:space="preserve">istema </w:t>
      </w:r>
      <w:r w:rsidR="000B2E6F">
        <w:t xml:space="preserve">Interconectado </w:t>
      </w:r>
      <w:r w:rsidRPr="00C16391">
        <w:t xml:space="preserve">del </w:t>
      </w:r>
      <w:r w:rsidR="000B2E6F">
        <w:t>N</w:t>
      </w:r>
      <w:r w:rsidRPr="00C16391">
        <w:t xml:space="preserve">orte </w:t>
      </w:r>
      <w:r w:rsidR="000B2E6F">
        <w:t>G</w:t>
      </w:r>
      <w:r w:rsidRPr="00C16391">
        <w:t xml:space="preserve">rande </w:t>
      </w:r>
      <w:r w:rsidR="000B2E6F">
        <w:t xml:space="preserve">(SING) </w:t>
      </w:r>
      <w:r w:rsidRPr="00C16391">
        <w:t xml:space="preserve">y </w:t>
      </w:r>
      <w:r w:rsidR="000B2E6F">
        <w:t>el Sistema Interconectado Central (SIC)</w:t>
      </w:r>
      <w:r w:rsidRPr="00C16391">
        <w:t>, se unifican.</w:t>
      </w:r>
    </w:p>
    <w:p w14:paraId="3031C736" w14:textId="458E7DB2" w:rsidR="000865AE" w:rsidRPr="00537FFE" w:rsidRDefault="009223AA" w:rsidP="000865AE">
      <w:r w:rsidRPr="00C16391">
        <w:t xml:space="preserve">Por las características de la geografía nacional, es un sistema </w:t>
      </w:r>
      <w:r w:rsidR="000B2E6F">
        <w:t>caracterizado por su gran</w:t>
      </w:r>
      <w:r w:rsidRPr="00C16391">
        <w:t xml:space="preserve"> longitud</w:t>
      </w:r>
      <w:r w:rsidR="000B2E6F">
        <w:t>,</w:t>
      </w:r>
      <w:r w:rsidRPr="00C16391">
        <w:t xml:space="preserve"> alcanzando los 3.100 km</w:t>
      </w:r>
      <w:r w:rsidR="000B2E6F">
        <w:t>, recorriendo una diversidad de climas y geografías,</w:t>
      </w:r>
      <w:r w:rsidRPr="00C16391">
        <w:t xml:space="preserve"> y abarcando casi la totalidad del territorio nacional, desde la ciudad de Arica por el norte, hasta la Isla </w:t>
      </w:r>
      <w:r w:rsidR="000B2E6F">
        <w:t xml:space="preserve">Grande </w:t>
      </w:r>
      <w:r w:rsidRPr="00C16391">
        <w:t>de Chiloé, en el sur</w:t>
      </w:r>
      <w:r w:rsidR="00D12116">
        <w:t>, con una cobertura del 98,5% de la población del país.</w:t>
      </w:r>
    </w:p>
    <w:p w14:paraId="00B422C3" w14:textId="77777777" w:rsidR="003A06F5" w:rsidRPr="00C16391" w:rsidRDefault="00EB65FA" w:rsidP="003A06F5">
      <w:pPr>
        <w:pStyle w:val="Ttulo2"/>
        <w:rPr>
          <w:color w:val="auto"/>
        </w:rPr>
      </w:pPr>
      <w:bookmarkStart w:id="21" w:name="_Toc34319828"/>
      <w:bookmarkStart w:id="22" w:name="_Toc469915009"/>
      <w:bookmarkStart w:id="23" w:name="_Toc469921262"/>
      <w:r w:rsidRPr="00C16391">
        <w:rPr>
          <w:color w:val="auto"/>
        </w:rPr>
        <w:lastRenderedPageBreak/>
        <w:t>SISTEMA DE INFORMACIÓN EN TIEMPO REAL</w:t>
      </w:r>
      <w:bookmarkEnd w:id="21"/>
    </w:p>
    <w:p w14:paraId="19A6328A" w14:textId="77777777" w:rsidR="009E1440" w:rsidRPr="00FA13BB" w:rsidRDefault="009E1440" w:rsidP="009E1440">
      <w:r w:rsidRPr="00C16391">
        <w:t xml:space="preserve">La disponibilidad del Sistema de Información en Tiempo Real (SITR), hace referencia al porcentaje de tiempo total medido en un intervalo de tiempo determinado, en el cual se tuvo acceso a la información de tiempo real correspondiente a las variables de cada Coordinado, del tipo análogas, estados, y alarmas. Por lo tanto, la plataforma del SITR entre cada Coordinado y el Centro de Despacho y Control (CDC) del Coordinador Eléctrico Nacional debe contar con la </w:t>
      </w:r>
      <w:r w:rsidRPr="00FA13BB">
        <w:t>arquitectura adecuada para cumplir la disponibilidad exigida por la NTSyCS.</w:t>
      </w:r>
    </w:p>
    <w:p w14:paraId="17ED853E" w14:textId="77777777" w:rsidR="00EA6FC3" w:rsidRPr="00FA13BB" w:rsidRDefault="00EA6FC3" w:rsidP="00EA6FC3">
      <w:pPr>
        <w:pStyle w:val="Ttulo3"/>
      </w:pPr>
      <w:bookmarkStart w:id="24" w:name="_Toc34319829"/>
      <w:r w:rsidRPr="00FA13BB">
        <w:t>DISPONIBILIDAD DEL SITR</w:t>
      </w:r>
      <w:bookmarkEnd w:id="24"/>
    </w:p>
    <w:p w14:paraId="0E1D67D7" w14:textId="77777777" w:rsidR="001E4BA7" w:rsidRPr="00D32371" w:rsidRDefault="001E4BA7" w:rsidP="001E4BA7">
      <w:r w:rsidRPr="00D32371">
        <w:t>El Artículo 4-12 de la NTSyCS establece que los Coordinados deben disponer del equipamiento para establecer el enlace de datos con el CDC y deberá garantizar una disponibilidad de la información, tanto en el CC como en el CDC, mayor o igual a 99,5% medida en una ventana móvil de 12 meses, incluyendo en el cómputo a los canales de comunicación de datos.</w:t>
      </w:r>
    </w:p>
    <w:p w14:paraId="192569CE" w14:textId="77777777" w:rsidR="001E4BA7" w:rsidRPr="00D32371" w:rsidRDefault="00C3259F" w:rsidP="001E4BA7">
      <w:r>
        <w:t>S</w:t>
      </w:r>
      <w:r w:rsidR="001E4BA7" w:rsidRPr="00D32371">
        <w:t>e ha considerado en esta evaluac</w:t>
      </w:r>
      <w:r w:rsidR="00796B55" w:rsidRPr="00D32371">
        <w:t>ión la información del SCADA/EMS</w:t>
      </w:r>
      <w:r w:rsidR="001E4BA7" w:rsidRPr="00D32371">
        <w:t>, analizando el flag de calidad de señales de telemedidas enviado por los Coordinados. A estos efectos, un punto en el SCADA</w:t>
      </w:r>
      <w:r w:rsidR="00796B55" w:rsidRPr="00D32371">
        <w:t>/EMS</w:t>
      </w:r>
      <w:r w:rsidR="001E4BA7" w:rsidRPr="00D32371">
        <w:t xml:space="preserve"> se considera indisponible cuando el flag de calidad tiene un valor incorrecto, lo que implica que este punto no está siendo actualizado en tiempo real. </w:t>
      </w:r>
    </w:p>
    <w:p w14:paraId="4B58B2A1" w14:textId="77777777" w:rsidR="001E4BA7" w:rsidRPr="00D32371" w:rsidRDefault="001E4BA7" w:rsidP="001E4BA7">
      <w:r w:rsidRPr="00D32371">
        <w:t>Los flag de calidad pueden tener valores incorrectos debido a múltiples razones, para citar algunas:</w:t>
      </w:r>
    </w:p>
    <w:p w14:paraId="24C9A1D2" w14:textId="77777777" w:rsidR="001E4BA7" w:rsidRPr="00D32371" w:rsidRDefault="001E4BA7" w:rsidP="00451E2C">
      <w:pPr>
        <w:pStyle w:val="Prrafodelista"/>
        <w:numPr>
          <w:ilvl w:val="0"/>
          <w:numId w:val="25"/>
        </w:numPr>
      </w:pPr>
      <w:r w:rsidRPr="00D32371">
        <w:t xml:space="preserve">Comunicación </w:t>
      </w:r>
      <w:r w:rsidR="001B65C8" w:rsidRPr="00D32371">
        <w:t>defectuosa</w:t>
      </w:r>
      <w:r w:rsidRPr="00D32371">
        <w:t xml:space="preserve"> entre Coordinado y </w:t>
      </w:r>
      <w:r w:rsidR="00451E2C" w:rsidRPr="00D32371">
        <w:t>Coordinador</w:t>
      </w:r>
      <w:r w:rsidR="001B65C8" w:rsidRPr="00D32371">
        <w:t>.</w:t>
      </w:r>
    </w:p>
    <w:p w14:paraId="6651B07B" w14:textId="77777777" w:rsidR="001E4BA7" w:rsidRPr="00D32371" w:rsidRDefault="001E4BA7" w:rsidP="00451E2C">
      <w:pPr>
        <w:pStyle w:val="Prrafodelista"/>
        <w:numPr>
          <w:ilvl w:val="0"/>
          <w:numId w:val="25"/>
        </w:numPr>
      </w:pPr>
      <w:r w:rsidRPr="00D32371">
        <w:t>Pérdida de comunicación entre SCADA de Coordinado y RTU o SCL de la S/E.</w:t>
      </w:r>
    </w:p>
    <w:p w14:paraId="66EC4B8D" w14:textId="77777777" w:rsidR="001E4BA7" w:rsidRPr="00D32371" w:rsidRDefault="001E4BA7" w:rsidP="00451E2C">
      <w:pPr>
        <w:pStyle w:val="Prrafodelista"/>
        <w:numPr>
          <w:ilvl w:val="0"/>
          <w:numId w:val="25"/>
        </w:numPr>
      </w:pPr>
      <w:r w:rsidRPr="00D32371">
        <w:t>Pérdida de comunicación entre RTU, IED u otro equipo que entregue información a la RTU o SCL de la subestación.</w:t>
      </w:r>
    </w:p>
    <w:p w14:paraId="121B5D82" w14:textId="77777777" w:rsidR="001E4BA7" w:rsidRPr="00D32371" w:rsidRDefault="001E4BA7" w:rsidP="00451E2C">
      <w:pPr>
        <w:pStyle w:val="Prrafodelista"/>
        <w:numPr>
          <w:ilvl w:val="0"/>
          <w:numId w:val="25"/>
        </w:numPr>
      </w:pPr>
      <w:r w:rsidRPr="00D32371">
        <w:t>Transductor fallado.</w:t>
      </w:r>
    </w:p>
    <w:p w14:paraId="3EDEEC50" w14:textId="77777777" w:rsidR="001E4BA7" w:rsidRPr="00D32371" w:rsidRDefault="001E4BA7" w:rsidP="00451E2C">
      <w:pPr>
        <w:pStyle w:val="Prrafodelista"/>
        <w:numPr>
          <w:ilvl w:val="0"/>
          <w:numId w:val="25"/>
        </w:numPr>
      </w:pPr>
      <w:r w:rsidRPr="00D32371">
        <w:t xml:space="preserve">Cambio en la configuración de los equipos del </w:t>
      </w:r>
      <w:r w:rsidR="00451E2C" w:rsidRPr="00D32371">
        <w:t>C</w:t>
      </w:r>
      <w:r w:rsidRPr="00D32371">
        <w:t xml:space="preserve">oordinado que no fue informado al </w:t>
      </w:r>
      <w:r w:rsidR="00451E2C" w:rsidRPr="00D32371">
        <w:t>Coordinador Eléctrico</w:t>
      </w:r>
      <w:r w:rsidR="001B65C8" w:rsidRPr="00D32371">
        <w:t>.</w:t>
      </w:r>
    </w:p>
    <w:p w14:paraId="091C99B9" w14:textId="77777777" w:rsidR="001E4BA7" w:rsidRPr="00D32371" w:rsidRDefault="001E4BA7" w:rsidP="001E4BA7">
      <w:r w:rsidRPr="00D32371">
        <w:lastRenderedPageBreak/>
        <w:t>Para cada señal analógica y de estado se determina el tiempo total de indisponibilidad durante un mes. Posteriormente se realiza la totalización de estas indisponibilidades por Coordinado.</w:t>
      </w:r>
    </w:p>
    <w:p w14:paraId="29420DD3" w14:textId="77777777" w:rsidR="001E4BA7" w:rsidRPr="00D32371" w:rsidRDefault="001E4BA7" w:rsidP="001E4BA7">
      <w:r w:rsidRPr="00D32371">
        <w:t>La fórmula usada para el cálculo de la disponibilidad mensual de cada Coordinado es la siguiente:</w:t>
      </w:r>
    </w:p>
    <w:p w14:paraId="6619134B" w14:textId="77777777" w:rsidR="00451E2C" w:rsidRPr="00D32371" w:rsidRDefault="00D32371" w:rsidP="001E4BA7">
      <m:oMathPara>
        <m:oMath>
          <m:r>
            <m:rPr>
              <m:sty m:val="p"/>
            </m:rPr>
            <w:rPr>
              <w:rFonts w:ascii="Cambria Math" w:eastAsia="Calibri" w:hAnsi="Cambria Math" w:cs="Times New Roman"/>
              <w:szCs w:val="22"/>
              <w:lang w:val="es-CO"/>
            </w:rPr>
            <m:t>Disponiblidad</m:t>
          </m:r>
          <m:r>
            <w:rPr>
              <w:rFonts w:ascii="Cambria Math" w:eastAsia="Calibri" w:hAnsi="Cambria Math" w:cs="Times New Roman"/>
              <w:szCs w:val="22"/>
              <w:lang w:val="es-CO"/>
            </w:rPr>
            <m:t>=</m:t>
          </m:r>
          <m:d>
            <m:dPr>
              <m:ctrlPr>
                <w:rPr>
                  <w:rFonts w:ascii="Cambria Math" w:eastAsia="Calibri" w:hAnsi="Cambria Math" w:cs="Times New Roman"/>
                  <w:i/>
                  <w:szCs w:val="22"/>
                  <w:lang w:val="es-CO"/>
                </w:rPr>
              </m:ctrlPr>
            </m:dPr>
            <m:e>
              <m:r>
                <w:rPr>
                  <w:rFonts w:ascii="Cambria Math" w:eastAsia="Calibri" w:hAnsi="Cambria Math" w:cs="Times New Roman"/>
                  <w:szCs w:val="22"/>
                  <w:lang w:val="es-CO"/>
                </w:rPr>
                <m:t>1-</m:t>
              </m:r>
              <m:r>
                <m:rPr>
                  <m:sty m:val="p"/>
                </m:rPr>
                <w:rPr>
                  <w:rFonts w:ascii="Cambria Math" w:eastAsia="Calibri" w:hAnsi="Cambria Math" w:cs="Times New Roman"/>
                  <w:szCs w:val="22"/>
                  <w:lang w:val="es-CO"/>
                </w:rPr>
                <m:t>Indisponibilidad</m:t>
              </m:r>
            </m:e>
          </m:d>
          <m:r>
            <w:rPr>
              <w:rFonts w:ascii="Cambria Math" w:eastAsia="Calibri" w:hAnsi="Cambria Math" w:cs="Times New Roman"/>
              <w:szCs w:val="22"/>
              <w:lang w:val="es-CO"/>
            </w:rPr>
            <m:t xml:space="preserve"> × 100</m:t>
          </m:r>
        </m:oMath>
      </m:oMathPara>
    </w:p>
    <w:p w14:paraId="6B061490" w14:textId="77777777" w:rsidR="001E4BA7" w:rsidRPr="00D32371" w:rsidRDefault="001E4BA7" w:rsidP="001E4BA7">
      <w:r w:rsidRPr="00D32371">
        <w:t>Donde:</w:t>
      </w:r>
    </w:p>
    <w:p w14:paraId="634FBCDD" w14:textId="77777777" w:rsidR="00451E2C" w:rsidRPr="00D32371" w:rsidRDefault="00E058C3" w:rsidP="00451E2C">
      <w:pPr>
        <w:keepLines/>
        <w:spacing w:before="0"/>
        <w:rPr>
          <w:rFonts w:ascii="Calibri" w:eastAsia="Calibri" w:hAnsi="Calibri" w:cs="Times New Roman"/>
          <w:szCs w:val="22"/>
          <w:lang w:val="es-CO"/>
        </w:rPr>
      </w:pPr>
      <m:oMathPara>
        <m:oMathParaPr>
          <m:jc m:val="center"/>
        </m:oMathParaPr>
        <m:oMath>
          <m:r>
            <m:rPr>
              <m:sty m:val="p"/>
            </m:rPr>
            <w:rPr>
              <w:rFonts w:ascii="Cambria Math" w:eastAsia="Calibri" w:hAnsi="Cambria Math" w:cs="Times New Roman"/>
              <w:szCs w:val="22"/>
              <w:lang w:val="es-CO"/>
            </w:rPr>
            <m:t>Indisponiblidad</m:t>
          </m:r>
          <m:r>
            <w:rPr>
              <w:rFonts w:ascii="Cambria Math" w:eastAsia="Calibri" w:hAnsi="Cambria Math" w:cs="Times New Roman"/>
              <w:szCs w:val="22"/>
              <w:lang w:val="es-CO"/>
            </w:rPr>
            <m:t xml:space="preserve">= </m:t>
          </m:r>
          <m:f>
            <m:fPr>
              <m:ctrlPr>
                <w:rPr>
                  <w:rFonts w:ascii="Cambria Math" w:eastAsia="Calibri" w:hAnsi="Cambria Math" w:cs="Times New Roman"/>
                  <w:i/>
                  <w:szCs w:val="22"/>
                  <w:lang w:val="es-CO"/>
                </w:rPr>
              </m:ctrlPr>
            </m:fPr>
            <m:num>
              <m:nary>
                <m:naryPr>
                  <m:chr m:val="∑"/>
                  <m:limLoc m:val="undOvr"/>
                  <m:subHide m:val="1"/>
                  <m:supHide m:val="1"/>
                  <m:ctrlPr>
                    <w:rPr>
                      <w:rFonts w:ascii="Cambria Math" w:eastAsia="Calibri" w:hAnsi="Cambria Math" w:cs="Times New Roman"/>
                      <w:i/>
                      <w:szCs w:val="22"/>
                      <w:lang w:val="es-CO"/>
                    </w:rPr>
                  </m:ctrlPr>
                </m:naryPr>
                <m:sub/>
                <m:sup/>
                <m:e>
                  <m:r>
                    <m:rPr>
                      <m:sty m:val="p"/>
                    </m:rPr>
                    <w:rPr>
                      <w:rFonts w:ascii="Cambria Math" w:eastAsia="Calibri" w:hAnsi="Cambria Math" w:cs="Times New Roman"/>
                      <w:szCs w:val="22"/>
                      <w:lang w:val="es-CO"/>
                    </w:rPr>
                    <m:t>Indisponiblidades</m:t>
                  </m:r>
                  <m:r>
                    <w:rPr>
                      <w:rFonts w:ascii="Cambria Math" w:eastAsia="Calibri" w:hAnsi="Cambria Math" w:cs="Times New Roman"/>
                      <w:szCs w:val="22"/>
                      <w:lang w:val="es-CO"/>
                    </w:rPr>
                    <m:t xml:space="preserve"> </m:t>
                  </m:r>
                  <m:r>
                    <m:rPr>
                      <m:sty m:val="p"/>
                    </m:rPr>
                    <w:rPr>
                      <w:rFonts w:ascii="Cambria Math" w:eastAsia="Calibri" w:hAnsi="Cambria Math" w:cs="Times New Roman"/>
                      <w:szCs w:val="22"/>
                      <w:lang w:val="es-CO"/>
                    </w:rPr>
                    <m:t>individuales</m:t>
                  </m:r>
                  <m:r>
                    <w:rPr>
                      <w:rFonts w:ascii="Cambria Math" w:eastAsia="Calibri" w:hAnsi="Cambria Math" w:cs="Times New Roman"/>
                      <w:szCs w:val="22"/>
                      <w:lang w:val="es-CO"/>
                    </w:rPr>
                    <m:t xml:space="preserve"> </m:t>
                  </m:r>
                  <m:d>
                    <m:dPr>
                      <m:begChr m:val="["/>
                      <m:endChr m:val="]"/>
                      <m:ctrlPr>
                        <w:rPr>
                          <w:rFonts w:ascii="Cambria Math" w:eastAsia="Calibri" w:hAnsi="Cambria Math" w:cs="Times New Roman"/>
                          <w:i/>
                          <w:szCs w:val="22"/>
                          <w:lang w:val="es-CO"/>
                        </w:rPr>
                      </m:ctrlPr>
                    </m:dPr>
                    <m:e>
                      <m:r>
                        <m:rPr>
                          <m:sty m:val="p"/>
                        </m:rPr>
                        <w:rPr>
                          <w:rFonts w:ascii="Cambria Math" w:eastAsia="Calibri" w:hAnsi="Cambria Math" w:cs="Times New Roman"/>
                          <w:szCs w:val="22"/>
                          <w:lang w:val="es-CO"/>
                        </w:rPr>
                        <m:t>seg</m:t>
                      </m:r>
                    </m:e>
                  </m:d>
                </m:e>
              </m:nary>
            </m:num>
            <m:den>
              <m:d>
                <m:dPr>
                  <m:ctrlPr>
                    <w:rPr>
                      <w:rFonts w:ascii="Cambria Math" w:eastAsia="Calibri" w:hAnsi="Cambria Math" w:cs="Times New Roman"/>
                      <w:szCs w:val="22"/>
                      <w:lang w:val="es-CO"/>
                    </w:rPr>
                  </m:ctrlPr>
                </m:dPr>
                <m:e>
                  <m:r>
                    <m:rPr>
                      <m:sty m:val="p"/>
                    </m:rPr>
                    <w:rPr>
                      <w:rFonts w:ascii="Cambria Math" w:eastAsia="Calibri" w:hAnsi="Cambria Math" w:cs="Times New Roman"/>
                      <w:szCs w:val="22"/>
                      <w:lang w:val="es-CO"/>
                    </w:rPr>
                    <m:t>segundos del mes</m:t>
                  </m:r>
                </m:e>
              </m:d>
              <m:r>
                <m:rPr>
                  <m:sty m:val="p"/>
                </m:rPr>
                <w:rPr>
                  <w:rFonts w:ascii="Cambria Math" w:eastAsia="Calibri" w:hAnsi="Cambria Math" w:cs="Times New Roman"/>
                  <w:szCs w:val="22"/>
                  <w:lang w:val="es-CO"/>
                </w:rPr>
                <m:t xml:space="preserve"> × (N° de puntos telemedidos</m:t>
              </m:r>
              <m:r>
                <w:rPr>
                  <w:rFonts w:ascii="Cambria Math" w:eastAsia="Calibri" w:hAnsi="Cambria Math" w:cs="Times New Roman"/>
                  <w:szCs w:val="22"/>
                  <w:lang w:val="es-CO"/>
                </w:rPr>
                <m:t xml:space="preserve">) </m:t>
              </m:r>
            </m:den>
          </m:f>
        </m:oMath>
      </m:oMathPara>
    </w:p>
    <w:p w14:paraId="050D6180" w14:textId="77777777" w:rsidR="00451E2C" w:rsidRPr="00944E5B" w:rsidRDefault="00451E2C" w:rsidP="001E4BA7">
      <w:pPr>
        <w:rPr>
          <w:color w:val="007DB1" w:themeColor="background1"/>
        </w:rPr>
      </w:pPr>
    </w:p>
    <w:p w14:paraId="6D621E99" w14:textId="2C633E8D" w:rsidR="00B80932" w:rsidRPr="003D537F" w:rsidRDefault="00433258" w:rsidP="001E4BA7">
      <w:r w:rsidRPr="003D537F">
        <w:t>A diciembre de 201</w:t>
      </w:r>
      <w:r w:rsidR="00F62416">
        <w:t>9</w:t>
      </w:r>
      <w:r w:rsidRPr="003D537F">
        <w:t xml:space="preserve">, se dispone de la información correspondiente a </w:t>
      </w:r>
      <w:r w:rsidR="00444A24">
        <w:t>241</w:t>
      </w:r>
      <w:r w:rsidR="008C33F6" w:rsidRPr="003D537F">
        <w:t xml:space="preserve"> Coordinados, con el siguiente detalle de cumplimiento/incumplimiento</w:t>
      </w:r>
      <w:r w:rsidR="00AD5E3E">
        <w:t xml:space="preserve"> (</w:t>
      </w:r>
      <w:r w:rsidR="00444A24">
        <w:t>41</w:t>
      </w:r>
      <w:r w:rsidR="00AD5E3E">
        <w:t>/</w:t>
      </w:r>
      <w:r w:rsidR="00444A24">
        <w:t>200</w:t>
      </w:r>
      <w:r w:rsidR="00AD5E3E">
        <w:t xml:space="preserve"> Coordinados)</w:t>
      </w:r>
      <w:r w:rsidR="008C33F6" w:rsidRPr="003D537F">
        <w:t xml:space="preserve"> de esta exigencia.</w:t>
      </w:r>
    </w:p>
    <w:p w14:paraId="683CCF23" w14:textId="3A3D0892" w:rsidR="001B65C8" w:rsidRPr="00944E5B" w:rsidRDefault="00444A24" w:rsidP="008C33F6">
      <w:pPr>
        <w:jc w:val="center"/>
        <w:rPr>
          <w:color w:val="007DB1" w:themeColor="background1"/>
        </w:rPr>
      </w:pPr>
      <w:r>
        <w:rPr>
          <w:noProof/>
          <w:color w:val="007DB1" w:themeColor="background1"/>
        </w:rPr>
        <w:drawing>
          <wp:inline distT="0" distB="0" distL="0" distR="0" wp14:anchorId="48589A16" wp14:editId="3E122EE4">
            <wp:extent cx="3972260" cy="2300605"/>
            <wp:effectExtent l="0" t="0" r="952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1302" cy="2305842"/>
                    </a:xfrm>
                    <a:prstGeom prst="rect">
                      <a:avLst/>
                    </a:prstGeom>
                    <a:noFill/>
                  </pic:spPr>
                </pic:pic>
              </a:graphicData>
            </a:graphic>
          </wp:inline>
        </w:drawing>
      </w:r>
    </w:p>
    <w:p w14:paraId="7FE35FC8" w14:textId="0A9562B8" w:rsidR="000B7937" w:rsidRPr="003D537F" w:rsidRDefault="000B7937" w:rsidP="000B7937">
      <w:pPr>
        <w:pStyle w:val="Descripcin"/>
      </w:pPr>
      <w:r w:rsidRPr="003D537F">
        <w:t>Figura</w:t>
      </w:r>
      <w:r w:rsidR="007C4754" w:rsidRPr="003D537F">
        <w:t xml:space="preserve"> 1</w:t>
      </w:r>
      <w:r w:rsidRPr="003D537F">
        <w:t>: Cumplimiento de disponibilidad del SITR año 201</w:t>
      </w:r>
      <w:r w:rsidR="0090699B">
        <w:t>9</w:t>
      </w:r>
    </w:p>
    <w:p w14:paraId="50DE7557" w14:textId="77777777" w:rsidR="00D04B72" w:rsidRPr="00944E5B" w:rsidRDefault="00D04B72" w:rsidP="00451E2C">
      <w:pPr>
        <w:rPr>
          <w:color w:val="007DB1" w:themeColor="background1"/>
        </w:rPr>
      </w:pPr>
    </w:p>
    <w:p w14:paraId="014863D9" w14:textId="5D52F7EC" w:rsidR="00451E2C" w:rsidRPr="003D537F" w:rsidRDefault="00F754D8" w:rsidP="00451E2C">
      <w:r w:rsidRPr="00AD5E3E">
        <w:t xml:space="preserve">La </w:t>
      </w:r>
      <w:r w:rsidRPr="00AD5E3E">
        <w:fldChar w:fldCharType="begin"/>
      </w:r>
      <w:r w:rsidRPr="00AD5E3E">
        <w:instrText xml:space="preserve"> REF _Ref478488185 \h </w:instrText>
      </w:r>
      <w:r w:rsidR="00D82100" w:rsidRPr="00AD5E3E">
        <w:instrText xml:space="preserve"> \* MERGEFORMAT </w:instrText>
      </w:r>
      <w:r w:rsidRPr="00AD5E3E">
        <w:fldChar w:fldCharType="separate"/>
      </w:r>
      <w:r w:rsidR="00AA0F58" w:rsidRPr="00AD5E3E">
        <w:t>Figura</w:t>
      </w:r>
      <w:r w:rsidR="00D82100" w:rsidRPr="00AD5E3E">
        <w:t xml:space="preserve"> 2</w:t>
      </w:r>
      <w:r w:rsidR="00AA0F58" w:rsidRPr="00AD5E3E">
        <w:t xml:space="preserve"> </w:t>
      </w:r>
      <w:r w:rsidRPr="00AD5E3E">
        <w:fldChar w:fldCharType="end"/>
      </w:r>
      <w:r w:rsidRPr="00AD5E3E">
        <w:t xml:space="preserve">muestra </w:t>
      </w:r>
      <w:r w:rsidR="00AD5E3E">
        <w:t>el histórico de</w:t>
      </w:r>
      <w:r w:rsidRPr="00AD5E3E">
        <w:t xml:space="preserve"> disponibilidad del SITR en los últimos </w:t>
      </w:r>
      <w:r w:rsidR="00444A24">
        <w:t>4</w:t>
      </w:r>
      <w:r w:rsidRPr="00AD5E3E">
        <w:t xml:space="preserve"> años</w:t>
      </w:r>
      <w:r w:rsidR="0019071C" w:rsidRPr="00AD5E3E">
        <w:t xml:space="preserve"> (consolidando SIC y SING cuando corresponde)</w:t>
      </w:r>
      <w:r w:rsidR="0023614D" w:rsidRPr="00AD5E3E">
        <w:t xml:space="preserve">, </w:t>
      </w:r>
      <w:r w:rsidR="00AD5E3E" w:rsidRPr="00AD5E3E">
        <w:t xml:space="preserve">la cual disminuyó en un </w:t>
      </w:r>
      <w:r w:rsidR="00444A24">
        <w:t>1,1</w:t>
      </w:r>
      <w:r w:rsidR="00AD5E3E" w:rsidRPr="00AD5E3E">
        <w:t>%</w:t>
      </w:r>
      <w:r w:rsidR="00AD5E3E">
        <w:t xml:space="preserve"> </w:t>
      </w:r>
      <w:r w:rsidR="0019071C" w:rsidRPr="00AD5E3E">
        <w:t>con respecto al año pa</w:t>
      </w:r>
      <w:r w:rsidR="00AD5E3E">
        <w:t>sado 2019</w:t>
      </w:r>
      <w:r w:rsidR="0019071C" w:rsidRPr="00AD5E3E">
        <w:t>.</w:t>
      </w:r>
      <w:r w:rsidR="001E4D60" w:rsidRPr="00AD5E3E">
        <w:t xml:space="preserve"> El detalle de esta información se puede encontrar en archivo Anexo.</w:t>
      </w:r>
    </w:p>
    <w:p w14:paraId="512B3C1F" w14:textId="7E584C60" w:rsidR="00F754D8" w:rsidRPr="003D537F" w:rsidRDefault="00444A24" w:rsidP="00F754D8">
      <w:pPr>
        <w:keepNext/>
        <w:jc w:val="center"/>
      </w:pPr>
      <w:r>
        <w:rPr>
          <w:noProof/>
        </w:rPr>
        <w:lastRenderedPageBreak/>
        <w:drawing>
          <wp:inline distT="0" distB="0" distL="0" distR="0" wp14:anchorId="4E5B0FBE" wp14:editId="4C233941">
            <wp:extent cx="4535805" cy="263398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5805" cy="2633980"/>
                    </a:xfrm>
                    <a:prstGeom prst="rect">
                      <a:avLst/>
                    </a:prstGeom>
                    <a:noFill/>
                  </pic:spPr>
                </pic:pic>
              </a:graphicData>
            </a:graphic>
          </wp:inline>
        </w:drawing>
      </w:r>
    </w:p>
    <w:p w14:paraId="02AE4543" w14:textId="19DFCE24" w:rsidR="00451E2C" w:rsidRPr="003D537F" w:rsidRDefault="00F754D8" w:rsidP="00F754D8">
      <w:pPr>
        <w:pStyle w:val="Descripcin"/>
      </w:pPr>
      <w:bookmarkStart w:id="25" w:name="_Ref478488185"/>
      <w:r w:rsidRPr="003D537F">
        <w:t xml:space="preserve">Figura </w:t>
      </w:r>
      <w:bookmarkEnd w:id="25"/>
      <w:r w:rsidR="007C4754" w:rsidRPr="003D537F">
        <w:t>2</w:t>
      </w:r>
      <w:r w:rsidRPr="003D537F">
        <w:t xml:space="preserve">: </w:t>
      </w:r>
      <w:r w:rsidR="0043748A" w:rsidRPr="003D537F">
        <w:t>C</w:t>
      </w:r>
      <w:r w:rsidRPr="003D537F">
        <w:t>umplimiento de disponib</w:t>
      </w:r>
      <w:r w:rsidR="000679C7" w:rsidRPr="003D537F">
        <w:t xml:space="preserve">ilidad del SITR en los últimos </w:t>
      </w:r>
      <w:r w:rsidR="00444A24">
        <w:t>4</w:t>
      </w:r>
      <w:r w:rsidRPr="003D537F">
        <w:t xml:space="preserve"> años.</w:t>
      </w:r>
    </w:p>
    <w:p w14:paraId="72A3CBAA" w14:textId="77777777" w:rsidR="00F754D8" w:rsidRPr="00944E5B" w:rsidRDefault="00F754D8" w:rsidP="00F754D8">
      <w:pPr>
        <w:rPr>
          <w:color w:val="007DB1" w:themeColor="background1"/>
        </w:rPr>
      </w:pPr>
    </w:p>
    <w:p w14:paraId="10C93F09" w14:textId="77777777" w:rsidR="00EA6FC3" w:rsidRPr="00FA13BB" w:rsidRDefault="00EA6FC3" w:rsidP="00EA6FC3">
      <w:pPr>
        <w:pStyle w:val="Ttulo3"/>
      </w:pPr>
      <w:bookmarkStart w:id="26" w:name="_Toc34319830"/>
      <w:r w:rsidRPr="00FA13BB">
        <w:t>TIEMPOS DE ACTUALIZACIÓN DEL SITR</w:t>
      </w:r>
      <w:bookmarkEnd w:id="26"/>
    </w:p>
    <w:p w14:paraId="1383F3A5" w14:textId="77777777" w:rsidR="00B80932" w:rsidRPr="00FA13BB" w:rsidRDefault="00B80932" w:rsidP="00B80932">
      <w:r w:rsidRPr="00FA13BB">
        <w:t xml:space="preserve">De acuerdo a lo definido en el artículo 4-16 de la NTSyCS, los tiempos de actualización de la información requerida para el SITR deberán ser menores a 5 segundos y contar con la debida sincronización horaria. </w:t>
      </w:r>
    </w:p>
    <w:p w14:paraId="4826BD55" w14:textId="77777777" w:rsidR="00094E0A" w:rsidRPr="00FA13BB" w:rsidRDefault="00094E0A" w:rsidP="00094E0A">
      <w:pPr>
        <w:rPr>
          <w:szCs w:val="20"/>
        </w:rPr>
      </w:pPr>
      <w:r w:rsidRPr="00FA13BB">
        <w:rPr>
          <w:szCs w:val="20"/>
        </w:rPr>
        <w:t xml:space="preserve">Las variables en las cuales se verificaron los tiempos de actualización, requeridas por el SITR para cada uno de los Coordinados, </w:t>
      </w:r>
      <w:r w:rsidR="00830F32" w:rsidRPr="00FA13BB">
        <w:rPr>
          <w:szCs w:val="20"/>
        </w:rPr>
        <w:t>corresponden a:</w:t>
      </w:r>
    </w:p>
    <w:p w14:paraId="113A4F28" w14:textId="77777777" w:rsidR="00094E0A" w:rsidRPr="003D537F" w:rsidRDefault="00094E0A" w:rsidP="00094E0A">
      <w:pPr>
        <w:pStyle w:val="Prrafodelista"/>
        <w:numPr>
          <w:ilvl w:val="0"/>
          <w:numId w:val="20"/>
        </w:numPr>
        <w:spacing w:before="0"/>
        <w:contextualSpacing w:val="0"/>
        <w:rPr>
          <w:szCs w:val="20"/>
        </w:rPr>
      </w:pPr>
      <w:r w:rsidRPr="003D537F">
        <w:rPr>
          <w:szCs w:val="20"/>
        </w:rPr>
        <w:t>Alarmas</w:t>
      </w:r>
    </w:p>
    <w:p w14:paraId="04FB6CE1" w14:textId="77777777" w:rsidR="00094E0A" w:rsidRPr="003D537F" w:rsidRDefault="00094E0A" w:rsidP="00094E0A">
      <w:pPr>
        <w:pStyle w:val="Prrafodelista"/>
        <w:numPr>
          <w:ilvl w:val="0"/>
          <w:numId w:val="20"/>
        </w:numPr>
        <w:spacing w:before="0"/>
        <w:contextualSpacing w:val="0"/>
        <w:rPr>
          <w:szCs w:val="20"/>
        </w:rPr>
      </w:pPr>
      <w:r w:rsidRPr="003D537F">
        <w:rPr>
          <w:szCs w:val="20"/>
        </w:rPr>
        <w:t>Estados.</w:t>
      </w:r>
    </w:p>
    <w:p w14:paraId="3C8CA1D2" w14:textId="0C90339D" w:rsidR="00B80932" w:rsidRPr="003D537F" w:rsidRDefault="00B80932" w:rsidP="00B80932">
      <w:r w:rsidRPr="00FA13BB">
        <w:t xml:space="preserve">A </w:t>
      </w:r>
      <w:r w:rsidR="00FA13BB" w:rsidRPr="00FA13BB">
        <w:t>continuación,</w:t>
      </w:r>
      <w:r w:rsidRPr="00FA13BB">
        <w:t xml:space="preserve"> se presenta</w:t>
      </w:r>
      <w:r w:rsidR="005A6F41" w:rsidRPr="00FA13BB">
        <w:t xml:space="preserve"> el detalle de cumplimiento/incumplimiento de esta exigencia para</w:t>
      </w:r>
      <w:r w:rsidRPr="00FA13BB">
        <w:t xml:space="preserve"> los valores medios de los </w:t>
      </w:r>
      <w:r w:rsidRPr="003D537F">
        <w:t xml:space="preserve">tiempos de actualización, con respecto a los 5 segundos exigidos por la NTSyCS de los Coordinados que cuentan con información disponible durante el </w:t>
      </w:r>
      <w:r w:rsidR="000B7937" w:rsidRPr="003D537F">
        <w:t xml:space="preserve">año </w:t>
      </w:r>
      <w:r w:rsidRPr="003D537F">
        <w:t>201</w:t>
      </w:r>
      <w:r w:rsidR="0090699B">
        <w:t>9</w:t>
      </w:r>
      <w:r w:rsidR="009C3A2C" w:rsidRPr="003D537F">
        <w:t>, y cuyo detalle se incluye en archivo Anexo</w:t>
      </w:r>
      <w:r w:rsidRPr="003D537F">
        <w:t>.</w:t>
      </w:r>
    </w:p>
    <w:p w14:paraId="7A28C3F6" w14:textId="77777777" w:rsidR="00043289" w:rsidRPr="003D537F" w:rsidRDefault="00043289" w:rsidP="00043289">
      <w:pPr>
        <w:pStyle w:val="Descripcin"/>
      </w:pPr>
    </w:p>
    <w:p w14:paraId="08F2A9EF" w14:textId="5200E5B6" w:rsidR="003A06F5" w:rsidRPr="003D537F" w:rsidRDefault="00444A24" w:rsidP="000B7937">
      <w:pPr>
        <w:jc w:val="center"/>
      </w:pPr>
      <w:r>
        <w:rPr>
          <w:noProof/>
        </w:rPr>
        <w:lastRenderedPageBreak/>
        <w:drawing>
          <wp:inline distT="0" distB="0" distL="0" distR="0" wp14:anchorId="421CD4E8" wp14:editId="197548AF">
            <wp:extent cx="3407738" cy="2663190"/>
            <wp:effectExtent l="0" t="0" r="254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7232" cy="2670610"/>
                    </a:xfrm>
                    <a:prstGeom prst="rect">
                      <a:avLst/>
                    </a:prstGeom>
                    <a:noFill/>
                  </pic:spPr>
                </pic:pic>
              </a:graphicData>
            </a:graphic>
          </wp:inline>
        </w:drawing>
      </w:r>
    </w:p>
    <w:p w14:paraId="606DE926" w14:textId="36AA3DF3" w:rsidR="005A6F41" w:rsidRPr="003D537F" w:rsidRDefault="000B7937" w:rsidP="000B7937">
      <w:pPr>
        <w:pStyle w:val="Descripcin"/>
      </w:pPr>
      <w:r w:rsidRPr="003D537F">
        <w:t xml:space="preserve">Figura </w:t>
      </w:r>
      <w:r w:rsidR="007C4754" w:rsidRPr="003D537F">
        <w:t>3</w:t>
      </w:r>
      <w:r w:rsidRPr="003D537F">
        <w:t xml:space="preserve">: </w:t>
      </w:r>
      <w:r w:rsidR="0043748A" w:rsidRPr="003D537F">
        <w:t xml:space="preserve">Cumplimiento de </w:t>
      </w:r>
      <w:r w:rsidRPr="003D537F">
        <w:t xml:space="preserve">Tiempos de Actualización de </w:t>
      </w:r>
      <w:r w:rsidR="0043748A" w:rsidRPr="003D537F">
        <w:t>SITR año 201</w:t>
      </w:r>
      <w:r w:rsidR="0090699B">
        <w:t>9</w:t>
      </w:r>
    </w:p>
    <w:p w14:paraId="739640E6" w14:textId="77777777" w:rsidR="005A6F41" w:rsidRPr="003D537F" w:rsidRDefault="005A6F41" w:rsidP="003A06F5"/>
    <w:p w14:paraId="6644BF8C" w14:textId="6F351173" w:rsidR="005A6F41" w:rsidRPr="003D537F" w:rsidRDefault="009165F0" w:rsidP="000679C7">
      <w:pPr>
        <w:jc w:val="center"/>
      </w:pPr>
      <w:r>
        <w:rPr>
          <w:noProof/>
        </w:rPr>
        <w:drawing>
          <wp:inline distT="0" distB="0" distL="0" distR="0" wp14:anchorId="033BE76A" wp14:editId="5AF11EBD">
            <wp:extent cx="4444365" cy="27127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4365" cy="2712720"/>
                    </a:xfrm>
                    <a:prstGeom prst="rect">
                      <a:avLst/>
                    </a:prstGeom>
                    <a:noFill/>
                  </pic:spPr>
                </pic:pic>
              </a:graphicData>
            </a:graphic>
          </wp:inline>
        </w:drawing>
      </w:r>
    </w:p>
    <w:p w14:paraId="767551C5" w14:textId="482FA060" w:rsidR="005A6F41" w:rsidRPr="003D537F" w:rsidRDefault="000679C7" w:rsidP="000679C7">
      <w:pPr>
        <w:pStyle w:val="Descripcin"/>
      </w:pPr>
      <w:r w:rsidRPr="003D537F">
        <w:t>Figura</w:t>
      </w:r>
      <w:r w:rsidR="007C4754" w:rsidRPr="003D537F">
        <w:t xml:space="preserve"> 4</w:t>
      </w:r>
      <w:r w:rsidRPr="003D537F">
        <w:t xml:space="preserve">: Cumplimiento de </w:t>
      </w:r>
      <w:r w:rsidR="00B91669">
        <w:t>D</w:t>
      </w:r>
      <w:r w:rsidRPr="003D537F">
        <w:t xml:space="preserve">isponibilidad del SITR en los últimos </w:t>
      </w:r>
      <w:r w:rsidR="00D94B14">
        <w:t>4</w:t>
      </w:r>
      <w:r w:rsidRPr="003D537F">
        <w:t xml:space="preserve"> años.</w:t>
      </w:r>
    </w:p>
    <w:p w14:paraId="0DCEF2B2" w14:textId="77777777" w:rsidR="00D04B72" w:rsidRPr="00944E5B" w:rsidRDefault="00E60F57" w:rsidP="00AD0C2A">
      <w:pPr>
        <w:rPr>
          <w:color w:val="007DB1" w:themeColor="background1"/>
        </w:rPr>
      </w:pPr>
      <w:r>
        <w:rPr>
          <w:color w:val="007DB1" w:themeColor="background1"/>
        </w:rPr>
        <w:t xml:space="preserve"> </w:t>
      </w:r>
    </w:p>
    <w:p w14:paraId="57416184" w14:textId="4B1D3A41" w:rsidR="00760824" w:rsidRPr="006C2D3D" w:rsidRDefault="00AD0C2A" w:rsidP="00AD0C2A">
      <w:r w:rsidRPr="0008562C">
        <w:t xml:space="preserve">A partir de estos datos </w:t>
      </w:r>
      <w:r w:rsidR="00043289" w:rsidRPr="0008562C">
        <w:t xml:space="preserve">y lo indicado en la </w:t>
      </w:r>
      <w:r w:rsidR="00140CF3" w:rsidRPr="0008562C">
        <w:t xml:space="preserve">Figura </w:t>
      </w:r>
      <w:r w:rsidR="000210A6" w:rsidRPr="0008562C">
        <w:rPr>
          <w:noProof/>
        </w:rPr>
        <w:t>4</w:t>
      </w:r>
      <w:r w:rsidR="000210A6" w:rsidRPr="0008562C">
        <w:t xml:space="preserve"> se</w:t>
      </w:r>
      <w:r w:rsidRPr="0008562C">
        <w:t xml:space="preserve"> </w:t>
      </w:r>
      <w:r w:rsidR="00D32B3C" w:rsidRPr="0008562C">
        <w:t xml:space="preserve">observa un </w:t>
      </w:r>
      <w:r w:rsidR="0008562C" w:rsidRPr="0008562C">
        <w:t>empeoramiento</w:t>
      </w:r>
      <w:r w:rsidR="00D32B3C" w:rsidRPr="0008562C">
        <w:t xml:space="preserve"> </w:t>
      </w:r>
      <w:r w:rsidR="0008562C" w:rsidRPr="0008562C">
        <w:t>este ultimo año de un 15,9%</w:t>
      </w:r>
      <w:r w:rsidR="00140CF3" w:rsidRPr="0008562C">
        <w:t xml:space="preserve"> </w:t>
      </w:r>
      <w:r w:rsidR="00D32B3C" w:rsidRPr="0008562C">
        <w:t xml:space="preserve">en el cumplimiento de los tiempos de actualización, </w:t>
      </w:r>
      <w:r w:rsidR="00043289" w:rsidRPr="0008562C">
        <w:t xml:space="preserve">los </w:t>
      </w:r>
      <w:r w:rsidR="00D94B14">
        <w:t>241</w:t>
      </w:r>
      <w:r w:rsidR="00D32B3C" w:rsidRPr="0008562C">
        <w:t xml:space="preserve"> Coordinados </w:t>
      </w:r>
      <w:r w:rsidR="00043289" w:rsidRPr="0008562C">
        <w:t xml:space="preserve">que se </w:t>
      </w:r>
      <w:r w:rsidR="00D32B3C" w:rsidRPr="0008562C">
        <w:t>desempeñ</w:t>
      </w:r>
      <w:r w:rsidR="00043289" w:rsidRPr="0008562C">
        <w:t>an</w:t>
      </w:r>
      <w:r w:rsidR="00D32B3C" w:rsidRPr="0008562C">
        <w:t xml:space="preserve"> de acuerdo a lo requerido por la NTSyCS</w:t>
      </w:r>
      <w:r w:rsidR="00043289" w:rsidRPr="0008562C">
        <w:t xml:space="preserve"> durante el </w:t>
      </w:r>
      <w:r w:rsidR="00140CF3" w:rsidRPr="0008562C">
        <w:t xml:space="preserve">año </w:t>
      </w:r>
      <w:r w:rsidR="00043289" w:rsidRPr="0008562C">
        <w:t>201</w:t>
      </w:r>
      <w:r w:rsidR="0008562C">
        <w:t>9</w:t>
      </w:r>
      <w:r w:rsidR="00D32B3C" w:rsidRPr="0008562C">
        <w:t>.</w:t>
      </w:r>
      <w:r w:rsidR="00D32B3C" w:rsidRPr="006C2D3D">
        <w:t xml:space="preserve"> </w:t>
      </w:r>
    </w:p>
    <w:p w14:paraId="76816506" w14:textId="77777777" w:rsidR="003A06F5" w:rsidRPr="00123B46" w:rsidRDefault="003A06F5" w:rsidP="003A06F5">
      <w:pPr>
        <w:pStyle w:val="Ttulo2"/>
        <w:rPr>
          <w:color w:val="auto"/>
        </w:rPr>
      </w:pPr>
      <w:bookmarkStart w:id="27" w:name="_Toc34319831"/>
      <w:r w:rsidRPr="00123B46">
        <w:rPr>
          <w:color w:val="auto"/>
        </w:rPr>
        <w:lastRenderedPageBreak/>
        <w:t>DISPONIBILIDAD CANALES DE VOZ</w:t>
      </w:r>
      <w:bookmarkEnd w:id="27"/>
    </w:p>
    <w:p w14:paraId="5D0D8D91" w14:textId="77777777" w:rsidR="007D6A84" w:rsidRPr="00FA13BB" w:rsidRDefault="007D6A84" w:rsidP="00A1275C">
      <w:r w:rsidRPr="00123B46">
        <w:t>Para asegurar un sistema de comunicaciones de</w:t>
      </w:r>
      <w:r w:rsidRPr="00FA13BB">
        <w:t xml:space="preserve"> voz que permita en todo momento una comunicación efectiva, oportuna y eficiente entre los CC y el CDC, y entre aquellos Coordinados que posean una relación funcional de tipo operativo, </w:t>
      </w:r>
      <w:r w:rsidR="0060233A" w:rsidRPr="00FA13BB">
        <w:t>el Coordinador ha definido</w:t>
      </w:r>
      <w:r w:rsidRPr="00FA13BB">
        <w:t xml:space="preserve"> los tipos de vínculos telefónicos que cumplan con lo dispuesto en el Título 4-3 de la NTSyCS.</w:t>
      </w:r>
    </w:p>
    <w:p w14:paraId="6BFCE44A" w14:textId="77777777" w:rsidR="003A06F5" w:rsidRPr="00FA13BB" w:rsidRDefault="007D6A84" w:rsidP="007D6A84">
      <w:r w:rsidRPr="00FA13BB">
        <w:t>El canal oficial de comunicación es el Hot Line de cada CC. Asimismo, las vías de comunicación de carácter alternativo, teléfono celular o satelital, así como el respaldo al Hot Line, también son consideradas vías oficiales de comunicación. La siguiente tabla muestra la di</w:t>
      </w:r>
      <w:r w:rsidR="000619D2" w:rsidRPr="00FA13BB">
        <w:t xml:space="preserve">stribución de la disponibilidad </w:t>
      </w:r>
      <w:r w:rsidRPr="00FA13BB">
        <w:t>de los canales:</w:t>
      </w:r>
    </w:p>
    <w:p w14:paraId="5FCEEB4F" w14:textId="77777777" w:rsidR="000619D2" w:rsidRPr="00944E5B" w:rsidRDefault="000619D2" w:rsidP="000619D2">
      <w:pPr>
        <w:pStyle w:val="Sinespaciado"/>
        <w:jc w:val="center"/>
        <w:rPr>
          <w:color w:val="007DB1" w:themeColor="background1"/>
        </w:rPr>
      </w:pPr>
    </w:p>
    <w:p w14:paraId="20261C6E" w14:textId="3A328ECA" w:rsidR="0084746A" w:rsidRPr="00F21B76" w:rsidRDefault="0084746A" w:rsidP="00D04B72">
      <w:pPr>
        <w:pStyle w:val="Descripcin"/>
      </w:pPr>
      <w:r w:rsidRPr="00F21B76">
        <w:t xml:space="preserve">Tabla </w:t>
      </w:r>
      <w:r w:rsidR="00944E5B" w:rsidRPr="00F21B76">
        <w:rPr>
          <w:noProof/>
        </w:rPr>
        <w:fldChar w:fldCharType="begin"/>
      </w:r>
      <w:r w:rsidR="00944E5B" w:rsidRPr="00F21B76">
        <w:rPr>
          <w:noProof/>
        </w:rPr>
        <w:instrText xml:space="preserve"> SEQ Tabla \* ARABIC </w:instrText>
      </w:r>
      <w:r w:rsidR="00944E5B" w:rsidRPr="00F21B76">
        <w:rPr>
          <w:noProof/>
        </w:rPr>
        <w:fldChar w:fldCharType="separate"/>
      </w:r>
      <w:r w:rsidR="00B62914">
        <w:rPr>
          <w:noProof/>
        </w:rPr>
        <w:t>1</w:t>
      </w:r>
      <w:r w:rsidR="00944E5B" w:rsidRPr="00F21B76">
        <w:rPr>
          <w:noProof/>
        </w:rPr>
        <w:fldChar w:fldCharType="end"/>
      </w:r>
      <w:r w:rsidRPr="00F21B76">
        <w:t>: Resumen de disponibilidad del canal oficial y de los canales alternativos de los CC.</w:t>
      </w:r>
    </w:p>
    <w:tbl>
      <w:tblPr>
        <w:tblW w:w="5929" w:type="dxa"/>
        <w:jc w:val="center"/>
        <w:tblBorders>
          <w:top w:val="single" w:sz="4" w:space="0" w:color="00AEC5" w:themeColor="accent1"/>
          <w:left w:val="single" w:sz="4" w:space="0" w:color="00AEC5" w:themeColor="accent1"/>
          <w:bottom w:val="single" w:sz="4" w:space="0" w:color="00AEC5" w:themeColor="accent1"/>
          <w:right w:val="single" w:sz="4" w:space="0" w:color="00AEC5" w:themeColor="accent1"/>
          <w:insideV w:val="single" w:sz="4" w:space="0" w:color="00AEC5" w:themeColor="accent1"/>
        </w:tblBorders>
        <w:tblLayout w:type="fixed"/>
        <w:tblLook w:val="04A0" w:firstRow="1" w:lastRow="0" w:firstColumn="1" w:lastColumn="0" w:noHBand="0" w:noVBand="1"/>
      </w:tblPr>
      <w:tblGrid>
        <w:gridCol w:w="2174"/>
        <w:gridCol w:w="1555"/>
        <w:gridCol w:w="2200"/>
      </w:tblGrid>
      <w:tr w:rsidR="00CD75F6" w:rsidRPr="00944E5B" w14:paraId="49FB17B3" w14:textId="77777777" w:rsidTr="0003494D">
        <w:trPr>
          <w:cantSplit/>
          <w:trHeight w:val="555"/>
          <w:tblHeader/>
          <w:jc w:val="center"/>
        </w:trPr>
        <w:tc>
          <w:tcPr>
            <w:tcW w:w="2174" w:type="dxa"/>
            <w:tcBorders>
              <w:bottom w:val="single" w:sz="4" w:space="0" w:color="00AEC5" w:themeColor="accent1"/>
            </w:tcBorders>
            <w:shd w:val="clear" w:color="auto" w:fill="00AEC5" w:themeFill="accent1"/>
            <w:noWrap/>
            <w:vAlign w:val="center"/>
            <w:hideMark/>
          </w:tcPr>
          <w:p w14:paraId="711D5C8F" w14:textId="77777777" w:rsidR="00CD75F6" w:rsidRPr="00CD75F6" w:rsidRDefault="00CD75F6" w:rsidP="00043289">
            <w:pPr>
              <w:pStyle w:val="Sinespaciado"/>
              <w:jc w:val="center"/>
              <w:rPr>
                <w:rFonts w:eastAsia="Times New Roman"/>
                <w:b/>
                <w:color w:val="FFFFFF"/>
              </w:rPr>
            </w:pPr>
            <w:r w:rsidRPr="00CD75F6">
              <w:rPr>
                <w:rFonts w:eastAsia="Times New Roman"/>
                <w:b/>
                <w:color w:val="FFFFFF"/>
              </w:rPr>
              <w:t>Centros de Control</w:t>
            </w:r>
          </w:p>
        </w:tc>
        <w:tc>
          <w:tcPr>
            <w:tcW w:w="1555" w:type="dxa"/>
            <w:tcBorders>
              <w:bottom w:val="single" w:sz="4" w:space="0" w:color="00AEC5" w:themeColor="accent1"/>
            </w:tcBorders>
            <w:shd w:val="clear" w:color="auto" w:fill="00AEC5" w:themeFill="accent1"/>
            <w:noWrap/>
            <w:vAlign w:val="center"/>
            <w:hideMark/>
          </w:tcPr>
          <w:p w14:paraId="0E74C76C" w14:textId="77777777" w:rsidR="00CD75F6" w:rsidRPr="00CD75F6" w:rsidRDefault="00CD75F6" w:rsidP="00043289">
            <w:pPr>
              <w:pStyle w:val="Sinespaciado"/>
              <w:jc w:val="center"/>
              <w:rPr>
                <w:rFonts w:eastAsia="Times New Roman"/>
                <w:b/>
                <w:color w:val="FFFFFF"/>
              </w:rPr>
            </w:pPr>
            <w:r w:rsidRPr="00CD75F6">
              <w:rPr>
                <w:rFonts w:eastAsia="Times New Roman"/>
                <w:b/>
                <w:color w:val="FFFFFF"/>
              </w:rPr>
              <w:t>Canal Oficial</w:t>
            </w:r>
          </w:p>
        </w:tc>
        <w:tc>
          <w:tcPr>
            <w:tcW w:w="2200" w:type="dxa"/>
            <w:tcBorders>
              <w:bottom w:val="single" w:sz="4" w:space="0" w:color="00AEC5" w:themeColor="accent1"/>
            </w:tcBorders>
            <w:shd w:val="clear" w:color="auto" w:fill="00AEC5" w:themeFill="accent1"/>
            <w:noWrap/>
            <w:vAlign w:val="center"/>
            <w:hideMark/>
          </w:tcPr>
          <w:p w14:paraId="31133C3F" w14:textId="77777777" w:rsidR="00CD75F6" w:rsidRPr="00CD75F6" w:rsidRDefault="00CD75F6" w:rsidP="00043289">
            <w:pPr>
              <w:pStyle w:val="Sinespaciado"/>
              <w:jc w:val="center"/>
              <w:rPr>
                <w:rFonts w:eastAsia="Times New Roman"/>
                <w:b/>
                <w:color w:val="FFFFFF"/>
              </w:rPr>
            </w:pPr>
            <w:r w:rsidRPr="00CD75F6">
              <w:rPr>
                <w:rFonts w:eastAsia="Times New Roman"/>
                <w:b/>
                <w:color w:val="FFFFFF"/>
              </w:rPr>
              <w:t>Canales Alternativos</w:t>
            </w:r>
          </w:p>
        </w:tc>
      </w:tr>
      <w:tr w:rsidR="00123B46" w:rsidRPr="00944E5B" w14:paraId="06E1A26D" w14:textId="77777777" w:rsidTr="00DC3B8C">
        <w:trPr>
          <w:trHeight w:val="20"/>
          <w:jc w:val="center"/>
        </w:trPr>
        <w:tc>
          <w:tcPr>
            <w:tcW w:w="2174" w:type="dxa"/>
            <w:tcBorders>
              <w:top w:val="single" w:sz="4" w:space="0" w:color="00AEC5" w:themeColor="accent1"/>
              <w:bottom w:val="single" w:sz="4" w:space="0" w:color="00AEC5" w:themeColor="accent1"/>
            </w:tcBorders>
            <w:noWrap/>
          </w:tcPr>
          <w:p w14:paraId="40C90D90" w14:textId="77777777" w:rsidR="00123B46" w:rsidRPr="003B5B0B" w:rsidRDefault="00123B46" w:rsidP="00123B46">
            <w:pPr>
              <w:pStyle w:val="Sinespaciado"/>
              <w:jc w:val="center"/>
              <w:rPr>
                <w:rFonts w:eastAsia="Times New Roman"/>
              </w:rPr>
            </w:pPr>
            <w:r w:rsidRPr="003B5B0B">
              <w:rPr>
                <w:rFonts w:eastAsia="Times New Roman"/>
              </w:rPr>
              <w:t>100%</w:t>
            </w:r>
          </w:p>
        </w:tc>
        <w:tc>
          <w:tcPr>
            <w:tcW w:w="1555" w:type="dxa"/>
            <w:tcBorders>
              <w:top w:val="single" w:sz="4" w:space="0" w:color="00AEC5" w:themeColor="accent1"/>
              <w:bottom w:val="single" w:sz="4" w:space="0" w:color="00AEC5" w:themeColor="accent1"/>
            </w:tcBorders>
            <w:noWrap/>
            <w:vAlign w:val="center"/>
          </w:tcPr>
          <w:p w14:paraId="7C1A177D" w14:textId="294C81B3" w:rsidR="00123B46" w:rsidRPr="003B5B0B" w:rsidRDefault="00123B46" w:rsidP="00123B46">
            <w:pPr>
              <w:pStyle w:val="Sinespaciado"/>
              <w:jc w:val="center"/>
              <w:rPr>
                <w:rFonts w:eastAsia="Times New Roman"/>
              </w:rPr>
            </w:pPr>
            <w:r>
              <w:rPr>
                <w:rFonts w:ascii="Calibri" w:hAnsi="Calibri" w:cs="Calibri"/>
              </w:rPr>
              <w:t>29</w:t>
            </w:r>
          </w:p>
        </w:tc>
        <w:tc>
          <w:tcPr>
            <w:tcW w:w="2200" w:type="dxa"/>
            <w:tcBorders>
              <w:top w:val="single" w:sz="4" w:space="0" w:color="00AEC5" w:themeColor="accent1"/>
              <w:bottom w:val="single" w:sz="4" w:space="0" w:color="00AEC5" w:themeColor="accent1"/>
            </w:tcBorders>
            <w:noWrap/>
            <w:vAlign w:val="center"/>
          </w:tcPr>
          <w:p w14:paraId="10040FDF" w14:textId="028D4970" w:rsidR="00123B46" w:rsidRPr="003B5B0B" w:rsidRDefault="00123B46" w:rsidP="00123B46">
            <w:pPr>
              <w:pStyle w:val="Sinespaciado"/>
              <w:jc w:val="center"/>
              <w:rPr>
                <w:rFonts w:eastAsia="Times New Roman"/>
              </w:rPr>
            </w:pPr>
            <w:r>
              <w:rPr>
                <w:rFonts w:ascii="Calibri" w:hAnsi="Calibri" w:cs="Calibri"/>
              </w:rPr>
              <w:t>16</w:t>
            </w:r>
          </w:p>
        </w:tc>
      </w:tr>
      <w:tr w:rsidR="00123B46" w:rsidRPr="00944E5B" w14:paraId="00238225" w14:textId="77777777" w:rsidTr="00DC3B8C">
        <w:trPr>
          <w:trHeight w:val="20"/>
          <w:jc w:val="center"/>
        </w:trPr>
        <w:tc>
          <w:tcPr>
            <w:tcW w:w="2174" w:type="dxa"/>
            <w:tcBorders>
              <w:top w:val="single" w:sz="4" w:space="0" w:color="00AEC5" w:themeColor="accent1"/>
              <w:bottom w:val="single" w:sz="4" w:space="0" w:color="00AEC5" w:themeColor="accent1"/>
            </w:tcBorders>
            <w:noWrap/>
            <w:hideMark/>
          </w:tcPr>
          <w:p w14:paraId="1920DCDB" w14:textId="77777777" w:rsidR="00123B46" w:rsidRPr="003B5B0B" w:rsidRDefault="00123B46" w:rsidP="00123B46">
            <w:pPr>
              <w:pStyle w:val="Sinespaciado"/>
              <w:jc w:val="center"/>
              <w:rPr>
                <w:rFonts w:eastAsia="Times New Roman"/>
              </w:rPr>
            </w:pPr>
            <w:r w:rsidRPr="003B5B0B">
              <w:rPr>
                <w:rFonts w:eastAsia="Times New Roman"/>
              </w:rPr>
              <w:t>De 0 a 100%</w:t>
            </w:r>
          </w:p>
        </w:tc>
        <w:tc>
          <w:tcPr>
            <w:tcW w:w="1555" w:type="dxa"/>
            <w:tcBorders>
              <w:top w:val="single" w:sz="4" w:space="0" w:color="00AEC5" w:themeColor="accent1"/>
              <w:bottom w:val="single" w:sz="4" w:space="0" w:color="00AEC5" w:themeColor="accent1"/>
            </w:tcBorders>
            <w:noWrap/>
            <w:vAlign w:val="center"/>
            <w:hideMark/>
          </w:tcPr>
          <w:p w14:paraId="1CC58C50" w14:textId="1B7A8024" w:rsidR="00123B46" w:rsidRPr="003B5B0B" w:rsidRDefault="00123B46" w:rsidP="00123B46">
            <w:pPr>
              <w:pStyle w:val="Sinespaciado"/>
              <w:jc w:val="center"/>
              <w:rPr>
                <w:rFonts w:eastAsia="Times New Roman"/>
              </w:rPr>
            </w:pPr>
            <w:r>
              <w:rPr>
                <w:rFonts w:ascii="Calibri" w:hAnsi="Calibri" w:cs="Calibri"/>
              </w:rPr>
              <w:t>33</w:t>
            </w:r>
          </w:p>
        </w:tc>
        <w:tc>
          <w:tcPr>
            <w:tcW w:w="2200" w:type="dxa"/>
            <w:tcBorders>
              <w:top w:val="single" w:sz="4" w:space="0" w:color="00AEC5" w:themeColor="accent1"/>
              <w:bottom w:val="single" w:sz="4" w:space="0" w:color="00AEC5" w:themeColor="accent1"/>
            </w:tcBorders>
            <w:noWrap/>
            <w:vAlign w:val="center"/>
            <w:hideMark/>
          </w:tcPr>
          <w:p w14:paraId="61A488DD" w14:textId="283A467B" w:rsidR="00123B46" w:rsidRPr="003B5B0B" w:rsidRDefault="00123B46" w:rsidP="00123B46">
            <w:pPr>
              <w:pStyle w:val="Sinespaciado"/>
              <w:jc w:val="center"/>
              <w:rPr>
                <w:rFonts w:eastAsia="Times New Roman"/>
              </w:rPr>
            </w:pPr>
            <w:r>
              <w:rPr>
                <w:rFonts w:ascii="Calibri" w:hAnsi="Calibri" w:cs="Calibri"/>
              </w:rPr>
              <w:t>1</w:t>
            </w:r>
          </w:p>
        </w:tc>
      </w:tr>
      <w:tr w:rsidR="00123B46" w:rsidRPr="00944E5B" w14:paraId="504B6176" w14:textId="77777777" w:rsidTr="00DC3B8C">
        <w:trPr>
          <w:trHeight w:val="20"/>
          <w:jc w:val="center"/>
        </w:trPr>
        <w:tc>
          <w:tcPr>
            <w:tcW w:w="2174" w:type="dxa"/>
            <w:tcBorders>
              <w:top w:val="single" w:sz="4" w:space="0" w:color="00AEC5" w:themeColor="accent1"/>
              <w:bottom w:val="single" w:sz="4" w:space="0" w:color="00AEC5" w:themeColor="accent1"/>
            </w:tcBorders>
            <w:noWrap/>
            <w:hideMark/>
          </w:tcPr>
          <w:p w14:paraId="6D448295" w14:textId="77777777" w:rsidR="00123B46" w:rsidRPr="003B5B0B" w:rsidRDefault="00123B46" w:rsidP="00123B46">
            <w:pPr>
              <w:pStyle w:val="Sinespaciado"/>
              <w:jc w:val="center"/>
              <w:rPr>
                <w:rFonts w:eastAsia="Times New Roman"/>
              </w:rPr>
            </w:pPr>
            <w:r w:rsidRPr="003B5B0B">
              <w:rPr>
                <w:rFonts w:eastAsia="Times New Roman"/>
              </w:rPr>
              <w:t>0%</w:t>
            </w:r>
          </w:p>
        </w:tc>
        <w:tc>
          <w:tcPr>
            <w:tcW w:w="1555" w:type="dxa"/>
            <w:tcBorders>
              <w:top w:val="single" w:sz="4" w:space="0" w:color="00AEC5" w:themeColor="accent1"/>
              <w:bottom w:val="single" w:sz="4" w:space="0" w:color="00AEC5" w:themeColor="accent1"/>
            </w:tcBorders>
            <w:noWrap/>
            <w:vAlign w:val="center"/>
            <w:hideMark/>
          </w:tcPr>
          <w:p w14:paraId="7852705C" w14:textId="6ABA9C9B" w:rsidR="00123B46" w:rsidRPr="003B5B0B" w:rsidRDefault="00123B46" w:rsidP="00123B46">
            <w:pPr>
              <w:pStyle w:val="Sinespaciado"/>
              <w:jc w:val="center"/>
              <w:rPr>
                <w:rFonts w:eastAsia="Times New Roman"/>
              </w:rPr>
            </w:pPr>
            <w:r>
              <w:rPr>
                <w:rFonts w:ascii="Calibri" w:hAnsi="Calibri" w:cs="Calibri"/>
              </w:rPr>
              <w:t>0</w:t>
            </w:r>
          </w:p>
        </w:tc>
        <w:tc>
          <w:tcPr>
            <w:tcW w:w="2200" w:type="dxa"/>
            <w:tcBorders>
              <w:top w:val="single" w:sz="4" w:space="0" w:color="00AEC5" w:themeColor="accent1"/>
              <w:bottom w:val="single" w:sz="4" w:space="0" w:color="00AEC5" w:themeColor="accent1"/>
            </w:tcBorders>
            <w:noWrap/>
            <w:vAlign w:val="center"/>
            <w:hideMark/>
          </w:tcPr>
          <w:p w14:paraId="0DAD66BF" w14:textId="4BF53403" w:rsidR="00123B46" w:rsidRPr="003B5B0B" w:rsidRDefault="00123B46" w:rsidP="00123B46">
            <w:pPr>
              <w:pStyle w:val="Sinespaciado"/>
              <w:jc w:val="center"/>
              <w:rPr>
                <w:rFonts w:eastAsia="Times New Roman"/>
              </w:rPr>
            </w:pPr>
            <w:r>
              <w:rPr>
                <w:rFonts w:ascii="Calibri" w:hAnsi="Calibri" w:cs="Calibri"/>
              </w:rPr>
              <w:t>1</w:t>
            </w:r>
          </w:p>
        </w:tc>
      </w:tr>
      <w:tr w:rsidR="00123B46" w:rsidRPr="00944E5B" w14:paraId="7900E8F1" w14:textId="77777777" w:rsidTr="00DC3B8C">
        <w:trPr>
          <w:trHeight w:val="20"/>
          <w:jc w:val="center"/>
        </w:trPr>
        <w:tc>
          <w:tcPr>
            <w:tcW w:w="2174" w:type="dxa"/>
            <w:tcBorders>
              <w:top w:val="single" w:sz="4" w:space="0" w:color="00AEC5" w:themeColor="accent1"/>
              <w:bottom w:val="single" w:sz="4" w:space="0" w:color="00AEC5" w:themeColor="accent1"/>
            </w:tcBorders>
            <w:noWrap/>
            <w:hideMark/>
          </w:tcPr>
          <w:p w14:paraId="76E6CEEB" w14:textId="77777777" w:rsidR="00123B46" w:rsidRPr="003B5B0B" w:rsidRDefault="00123B46" w:rsidP="00123B46">
            <w:pPr>
              <w:pStyle w:val="Sinespaciado"/>
              <w:jc w:val="center"/>
              <w:rPr>
                <w:rFonts w:eastAsia="Times New Roman"/>
              </w:rPr>
            </w:pPr>
            <w:r w:rsidRPr="003B5B0B">
              <w:rPr>
                <w:rFonts w:eastAsia="Times New Roman"/>
              </w:rPr>
              <w:t>No tiene</w:t>
            </w:r>
          </w:p>
        </w:tc>
        <w:tc>
          <w:tcPr>
            <w:tcW w:w="1555" w:type="dxa"/>
            <w:tcBorders>
              <w:top w:val="single" w:sz="4" w:space="0" w:color="00AEC5" w:themeColor="accent1"/>
              <w:bottom w:val="single" w:sz="4" w:space="0" w:color="00AEC5" w:themeColor="accent1"/>
            </w:tcBorders>
            <w:noWrap/>
            <w:vAlign w:val="center"/>
            <w:hideMark/>
          </w:tcPr>
          <w:p w14:paraId="0F9D1286" w14:textId="6275A6C1" w:rsidR="00123B46" w:rsidRPr="003B5B0B" w:rsidRDefault="00123B46" w:rsidP="00123B46">
            <w:pPr>
              <w:pStyle w:val="Sinespaciado"/>
              <w:jc w:val="center"/>
              <w:rPr>
                <w:rFonts w:eastAsia="Times New Roman"/>
              </w:rPr>
            </w:pPr>
            <w:r>
              <w:rPr>
                <w:rFonts w:ascii="Calibri" w:hAnsi="Calibri" w:cs="Calibri"/>
              </w:rPr>
              <w:t>3</w:t>
            </w:r>
          </w:p>
        </w:tc>
        <w:tc>
          <w:tcPr>
            <w:tcW w:w="2200" w:type="dxa"/>
            <w:tcBorders>
              <w:top w:val="single" w:sz="4" w:space="0" w:color="00AEC5" w:themeColor="accent1"/>
              <w:bottom w:val="single" w:sz="4" w:space="0" w:color="00AEC5" w:themeColor="accent1"/>
            </w:tcBorders>
            <w:noWrap/>
            <w:vAlign w:val="center"/>
            <w:hideMark/>
          </w:tcPr>
          <w:p w14:paraId="17DC499E" w14:textId="35F5AAD9" w:rsidR="00123B46" w:rsidRPr="003B5B0B" w:rsidRDefault="00123B46" w:rsidP="00123B46">
            <w:pPr>
              <w:pStyle w:val="Sinespaciado"/>
              <w:jc w:val="center"/>
              <w:rPr>
                <w:rFonts w:eastAsia="Times New Roman"/>
                <w:b/>
                <w:color w:val="007DB1" w:themeColor="background1"/>
              </w:rPr>
            </w:pPr>
            <w:r>
              <w:rPr>
                <w:rFonts w:ascii="Calibri" w:hAnsi="Calibri" w:cs="Calibri"/>
              </w:rPr>
              <w:t>15</w:t>
            </w:r>
          </w:p>
        </w:tc>
      </w:tr>
    </w:tbl>
    <w:p w14:paraId="32F56EBF" w14:textId="77777777" w:rsidR="00221D5C" w:rsidRPr="00944E5B" w:rsidRDefault="00221D5C" w:rsidP="00221D5C">
      <w:pPr>
        <w:rPr>
          <w:color w:val="007DB1" w:themeColor="background1"/>
        </w:rPr>
      </w:pPr>
    </w:p>
    <w:p w14:paraId="0CA65F58" w14:textId="77777777" w:rsidR="003A06F5" w:rsidRPr="00E53A15" w:rsidRDefault="003A06F5" w:rsidP="003A06F5">
      <w:pPr>
        <w:pStyle w:val="Ttulo2"/>
        <w:rPr>
          <w:color w:val="auto"/>
        </w:rPr>
      </w:pPr>
      <w:bookmarkStart w:id="28" w:name="_Toc34319832"/>
      <w:r w:rsidRPr="00E53A15">
        <w:rPr>
          <w:color w:val="auto"/>
        </w:rPr>
        <w:lastRenderedPageBreak/>
        <w:t>DISPONIBILIDAD CANALES DE TELEPROTECCIÓN</w:t>
      </w:r>
      <w:bookmarkEnd w:id="28"/>
    </w:p>
    <w:p w14:paraId="65A47128" w14:textId="357F9D17" w:rsidR="00221D5C" w:rsidRPr="007F3982" w:rsidRDefault="00221D5C" w:rsidP="00221D5C">
      <w:r w:rsidRPr="007F3982">
        <w:t xml:space="preserve">De acuerdo a lo requerido en </w:t>
      </w:r>
      <w:r w:rsidR="00E53A15">
        <w:t>el</w:t>
      </w:r>
      <w:r w:rsidRPr="007F3982">
        <w:t xml:space="preserve"> </w:t>
      </w:r>
      <w:r w:rsidR="009A4762" w:rsidRPr="007F3982">
        <w:t>A</w:t>
      </w:r>
      <w:r w:rsidRPr="007F3982">
        <w:t>rtículo 3-2</w:t>
      </w:r>
      <w:r w:rsidR="00E53A15">
        <w:t>4</w:t>
      </w:r>
      <w:r w:rsidRPr="007F3982">
        <w:t xml:space="preserve"> de la NTSyCS, las instalaciones del Sistema de Transmisión de más de 200 kV deberán estar equipadas con un Sistema de Protecciones Eléctricas que incluya vías de teleprotección según lo señalado en el punto I del mismo artículo. El Coordinado debe diseñar el esquema de teleprotección de modo de garantizar una disponibilidad de</w:t>
      </w:r>
      <w:r w:rsidR="00130480" w:rsidRPr="007F3982">
        <w:t>,</w:t>
      </w:r>
      <w:r w:rsidRPr="007F3982">
        <w:t xml:space="preserve"> al menos</w:t>
      </w:r>
      <w:r w:rsidR="00130480" w:rsidRPr="007F3982">
        <w:t>,</w:t>
      </w:r>
      <w:r w:rsidRPr="007F3982">
        <w:t xml:space="preserve"> 99,95%. Adicionalmente, </w:t>
      </w:r>
      <w:r w:rsidR="00D72420" w:rsidRPr="007F3982">
        <w:t>el Coordinador</w:t>
      </w:r>
      <w:r w:rsidRPr="007F3982">
        <w:t xml:space="preserve"> podrá solicitar complementar el esquema de protección en líneas entre 100 y 200 kV con teleprotección si ello evita la pérdida de sincronismo de unidades generadoras ante la ocurrencia de un cortocircuito en dichas líneas. </w:t>
      </w:r>
    </w:p>
    <w:p w14:paraId="70960297" w14:textId="77777777" w:rsidR="009A4762" w:rsidRPr="00F21B76" w:rsidRDefault="00221D5C" w:rsidP="00221D5C">
      <w:r w:rsidRPr="00F21B76">
        <w:t xml:space="preserve">A </w:t>
      </w:r>
      <w:r w:rsidR="007F3982" w:rsidRPr="00F21B76">
        <w:t>continuación,</w:t>
      </w:r>
      <w:r w:rsidRPr="00F21B76">
        <w:t xml:space="preserve"> se muestran </w:t>
      </w:r>
      <w:r w:rsidR="00D72420" w:rsidRPr="00F21B76">
        <w:t>de forma estratificada</w:t>
      </w:r>
      <w:r w:rsidR="00EF7C5F" w:rsidRPr="00F21B76">
        <w:t>,</w:t>
      </w:r>
      <w:r w:rsidR="00D72420" w:rsidRPr="00F21B76">
        <w:t xml:space="preserve"> en los intervalos que se indican, </w:t>
      </w:r>
      <w:r w:rsidRPr="00F21B76">
        <w:t xml:space="preserve">sólo aquellas teleprotecciones con </w:t>
      </w:r>
      <w:r w:rsidRPr="00F21B76">
        <w:rPr>
          <w:u w:val="single"/>
        </w:rPr>
        <w:t>disponibilidad menor a 100%,</w:t>
      </w:r>
      <w:r w:rsidRPr="00F21B76">
        <w:t xml:space="preserve"> las que fueron obtenidas a partir de los registros de trabajos programados e informes de limitación de transmisión ingresados en el </w:t>
      </w:r>
      <w:r w:rsidR="00D72420" w:rsidRPr="00F21B76">
        <w:t>sistema de información disponible para esos fines en el Coordinador Eléctrico.</w:t>
      </w:r>
      <w:r w:rsidR="00130480" w:rsidRPr="00F21B76">
        <w:t xml:space="preserve"> El detalle de esta información se encuentra disponible en archivo Anexo.</w:t>
      </w:r>
    </w:p>
    <w:p w14:paraId="45EE4CBF" w14:textId="77777777" w:rsidR="00684411" w:rsidRPr="00F21B76" w:rsidRDefault="00684411" w:rsidP="00684411">
      <w:pPr>
        <w:pStyle w:val="Descripcin"/>
        <w:keepNext/>
        <w:rPr>
          <w:color w:val="007DB1" w:themeColor="background1"/>
          <w:sz w:val="8"/>
        </w:rPr>
      </w:pPr>
    </w:p>
    <w:p w14:paraId="620318D2" w14:textId="279E8764" w:rsidR="001C780B" w:rsidRPr="00F21B76" w:rsidRDefault="00E53A15" w:rsidP="00081EA7">
      <w:pPr>
        <w:jc w:val="center"/>
      </w:pPr>
      <w:r>
        <w:rPr>
          <w:noProof/>
        </w:rPr>
        <w:drawing>
          <wp:inline distT="0" distB="0" distL="0" distR="0" wp14:anchorId="320DDA10" wp14:editId="377A1A3C">
            <wp:extent cx="5395933" cy="2860158"/>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7574" cy="2866328"/>
                    </a:xfrm>
                    <a:prstGeom prst="rect">
                      <a:avLst/>
                    </a:prstGeom>
                    <a:noFill/>
                  </pic:spPr>
                </pic:pic>
              </a:graphicData>
            </a:graphic>
          </wp:inline>
        </w:drawing>
      </w:r>
    </w:p>
    <w:p w14:paraId="2BDC1D89" w14:textId="16C38282" w:rsidR="00D04B72" w:rsidRPr="00F21B76" w:rsidRDefault="00D04B72" w:rsidP="00D04B72">
      <w:pPr>
        <w:pStyle w:val="Descripcin"/>
      </w:pPr>
      <w:r w:rsidRPr="00F21B76">
        <w:t>Figura</w:t>
      </w:r>
      <w:r w:rsidR="007C4754" w:rsidRPr="00F21B76">
        <w:t xml:space="preserve"> 5</w:t>
      </w:r>
      <w:r w:rsidRPr="00F21B76">
        <w:t xml:space="preserve">: Cumplimiento de </w:t>
      </w:r>
      <w:r w:rsidR="00B91669">
        <w:t>D</w:t>
      </w:r>
      <w:r w:rsidRPr="00F21B76">
        <w:t>isponibilidad de</w:t>
      </w:r>
      <w:r w:rsidR="00B91669">
        <w:t xml:space="preserve"> Canales de Teleprotección en</w:t>
      </w:r>
      <w:r w:rsidR="00F21B76">
        <w:t xml:space="preserve"> 201</w:t>
      </w:r>
      <w:r w:rsidR="006A2482">
        <w:t>9</w:t>
      </w:r>
      <w:r w:rsidRPr="00F21B76">
        <w:t>.</w:t>
      </w:r>
    </w:p>
    <w:p w14:paraId="3665E42A" w14:textId="77777777" w:rsidR="003A06F5" w:rsidRPr="000E3A0B" w:rsidRDefault="008F3789" w:rsidP="003A06F5">
      <w:pPr>
        <w:pStyle w:val="Ttulo2"/>
        <w:rPr>
          <w:color w:val="auto"/>
        </w:rPr>
      </w:pPr>
      <w:bookmarkStart w:id="29" w:name="_Toc34319833"/>
      <w:r w:rsidRPr="000E3A0B">
        <w:rPr>
          <w:caps w:val="0"/>
          <w:color w:val="auto"/>
        </w:rPr>
        <w:lastRenderedPageBreak/>
        <w:t xml:space="preserve">IMPLEMENTACIÓN DE </w:t>
      </w:r>
      <w:r w:rsidR="00ED273D" w:rsidRPr="000E3A0B">
        <w:rPr>
          <w:caps w:val="0"/>
          <w:color w:val="auto"/>
        </w:rPr>
        <w:t>AUTOMATISMOS</w:t>
      </w:r>
      <w:bookmarkEnd w:id="29"/>
    </w:p>
    <w:p w14:paraId="7DEEFF76" w14:textId="77777777" w:rsidR="00684411" w:rsidRPr="001C602B" w:rsidRDefault="00684411" w:rsidP="00684411">
      <w:pPr>
        <w:rPr>
          <w:highlight w:val="yellow"/>
        </w:rPr>
      </w:pPr>
      <w:r w:rsidRPr="003E0944">
        <w:t xml:space="preserve">A </w:t>
      </w:r>
      <w:r w:rsidR="007F3982" w:rsidRPr="003E0944">
        <w:t>continuación,</w:t>
      </w:r>
      <w:r w:rsidRPr="003E0944">
        <w:t xml:space="preserve"> se presenta </w:t>
      </w:r>
      <w:r w:rsidR="00DB2DD0" w:rsidRPr="003E0944">
        <w:t>el estado de los distintos automatismos disponibles en el SEN.</w:t>
      </w:r>
      <w:r w:rsidRPr="003E0944">
        <w:t xml:space="preserve"> Se incluye</w:t>
      </w:r>
      <w:r w:rsidR="00E13030" w:rsidRPr="003E0944">
        <w:t>,</w:t>
      </w:r>
      <w:r w:rsidRPr="003E0944">
        <w:t xml:space="preserve"> además</w:t>
      </w:r>
      <w:r w:rsidR="00E13030" w:rsidRPr="003E0944">
        <w:t>,</w:t>
      </w:r>
      <w:r w:rsidRPr="003E0944">
        <w:t xml:space="preserve"> una lista de Coordinados que cuentan con instalaciones habilitadas y que han </w:t>
      </w:r>
      <w:r w:rsidRPr="001C602B">
        <w:t>cumplido con la prestación de los servicios de EDAC, EDAG, ERAG.</w:t>
      </w:r>
    </w:p>
    <w:p w14:paraId="54CB5AC3" w14:textId="77777777" w:rsidR="003A06F5" w:rsidRDefault="005338E2" w:rsidP="00684411">
      <w:r w:rsidRPr="001C602B">
        <w:t>Con respecto a</w:t>
      </w:r>
      <w:r w:rsidR="00DA42D0" w:rsidRPr="001C602B">
        <w:t xml:space="preserve"> los</w:t>
      </w:r>
      <w:r w:rsidRPr="001C602B">
        <w:t xml:space="preserve"> automatismo</w:t>
      </w:r>
      <w:r w:rsidR="00DA42D0" w:rsidRPr="001C602B">
        <w:t>s</w:t>
      </w:r>
      <w:r w:rsidRPr="001C602B">
        <w:t xml:space="preserve"> señalado</w:t>
      </w:r>
      <w:r w:rsidR="00DA42D0" w:rsidRPr="001C602B">
        <w:t>s</w:t>
      </w:r>
      <w:r w:rsidRPr="001C602B">
        <w:t xml:space="preserve"> anteriormente, los Coordinados con </w:t>
      </w:r>
      <w:r w:rsidR="0027537E" w:rsidRPr="001C602B">
        <w:t xml:space="preserve">trabajos tendientes a dar cumplimiento a esta exigencia </w:t>
      </w:r>
      <w:r w:rsidRPr="001C602B">
        <w:t>se enc</w:t>
      </w:r>
      <w:r w:rsidR="0027537E" w:rsidRPr="001C602B">
        <w:t>u</w:t>
      </w:r>
      <w:r w:rsidR="00AD20CC" w:rsidRPr="001C602B">
        <w:t>e</w:t>
      </w:r>
      <w:r w:rsidRPr="001C602B">
        <w:t>ntran en la siguiente condición:</w:t>
      </w:r>
    </w:p>
    <w:p w14:paraId="3230E32A" w14:textId="77777777" w:rsidR="006E70E0" w:rsidRPr="006E70E0" w:rsidRDefault="000E3A0B" w:rsidP="006E70E0">
      <w:pPr>
        <w:pStyle w:val="Prrafodelista"/>
        <w:ind w:left="426"/>
        <w:rPr>
          <w:u w:val="single"/>
        </w:rPr>
      </w:pPr>
      <w:r w:rsidRPr="006E70E0">
        <w:rPr>
          <w:b/>
          <w:u w:val="single"/>
        </w:rPr>
        <w:t>EDAG</w:t>
      </w:r>
    </w:p>
    <w:p w14:paraId="1865BF49" w14:textId="6BA81D56" w:rsidR="005338E2" w:rsidRPr="00054689" w:rsidRDefault="000E3A0B" w:rsidP="005338E2">
      <w:pPr>
        <w:pStyle w:val="Prrafodelista"/>
        <w:numPr>
          <w:ilvl w:val="0"/>
          <w:numId w:val="26"/>
        </w:numPr>
      </w:pPr>
      <w:r>
        <w:rPr>
          <w:b/>
        </w:rPr>
        <w:t>Enel Generación</w:t>
      </w:r>
      <w:r w:rsidR="005338E2" w:rsidRPr="001C602B">
        <w:rPr>
          <w:b/>
        </w:rPr>
        <w:t>:</w:t>
      </w:r>
      <w:r w:rsidR="005338E2" w:rsidRPr="001C602B">
        <w:t xml:space="preserve"> </w:t>
      </w:r>
      <w:r w:rsidRPr="000E3A0B">
        <w:t>Mediante carta DE06091-19 el Coordinador solicitó puesta en servicio</w:t>
      </w:r>
      <w:r w:rsidR="0061435F">
        <w:t xml:space="preserve">. </w:t>
      </w:r>
      <w:r w:rsidRPr="000E3A0B">
        <w:t xml:space="preserve"> ENEL manif</w:t>
      </w:r>
      <w:r w:rsidR="0061435F">
        <w:t>iesta</w:t>
      </w:r>
      <w:r w:rsidRPr="000E3A0B">
        <w:t xml:space="preserve"> que el automat</w:t>
      </w:r>
      <w:r w:rsidR="006E70E0">
        <w:t>i</w:t>
      </w:r>
      <w:r w:rsidRPr="000E3A0B">
        <w:t>smo no estaba en condiciones de habilitarse.</w:t>
      </w:r>
    </w:p>
    <w:p w14:paraId="12682233" w14:textId="01EFEE1E" w:rsidR="005338E2" w:rsidRDefault="006E70E0" w:rsidP="006358E9">
      <w:pPr>
        <w:pStyle w:val="Prrafodelista"/>
        <w:numPr>
          <w:ilvl w:val="0"/>
          <w:numId w:val="26"/>
        </w:numPr>
      </w:pPr>
      <w:r>
        <w:rPr>
          <w:b/>
        </w:rPr>
        <w:t>Parque Eólico Taltal</w:t>
      </w:r>
      <w:r w:rsidR="006358E9" w:rsidRPr="00054689">
        <w:rPr>
          <w:b/>
        </w:rPr>
        <w:t>:</w:t>
      </w:r>
      <w:r w:rsidR="006358E9" w:rsidRPr="00054689">
        <w:t xml:space="preserve"> </w:t>
      </w:r>
      <w:r w:rsidRPr="006E70E0">
        <w:t>Mediante carta DE06091-19 el Coordinador solicitó puesta en servicio</w:t>
      </w:r>
      <w:r w:rsidR="0061435F">
        <w:t xml:space="preserve">. </w:t>
      </w:r>
      <w:r w:rsidRPr="006E70E0">
        <w:t>ENEL manif</w:t>
      </w:r>
      <w:r w:rsidR="0061435F">
        <w:t>iesta</w:t>
      </w:r>
      <w:r w:rsidRPr="006E70E0">
        <w:t xml:space="preserve"> que el automat</w:t>
      </w:r>
      <w:r>
        <w:t>i</w:t>
      </w:r>
      <w:r w:rsidRPr="006E70E0">
        <w:t>smo no estaba en condiciones de habilitarse.</w:t>
      </w:r>
    </w:p>
    <w:p w14:paraId="7849725D" w14:textId="3FABC2F2" w:rsidR="006E70E0" w:rsidRDefault="006E70E0" w:rsidP="006358E9">
      <w:pPr>
        <w:pStyle w:val="Prrafodelista"/>
        <w:numPr>
          <w:ilvl w:val="0"/>
          <w:numId w:val="26"/>
        </w:numPr>
      </w:pPr>
      <w:r>
        <w:rPr>
          <w:b/>
        </w:rPr>
        <w:t>Conejo Solar:</w:t>
      </w:r>
      <w:r>
        <w:t xml:space="preserve"> </w:t>
      </w:r>
      <w:r w:rsidRPr="006E70E0">
        <w:t>Mediante carta DE06091-19 el Coordinador solicitó puesta en servicio</w:t>
      </w:r>
      <w:r w:rsidR="0061435F">
        <w:t>. El Coordinado manifiesta</w:t>
      </w:r>
      <w:r w:rsidRPr="006E70E0">
        <w:t xml:space="preserve"> que el automat</w:t>
      </w:r>
      <w:r>
        <w:t>i</w:t>
      </w:r>
      <w:r w:rsidRPr="006E70E0">
        <w:t>smo no estaba en condiciones de habilitarse.</w:t>
      </w:r>
    </w:p>
    <w:p w14:paraId="557CE98F" w14:textId="584E048C" w:rsidR="006E70E0" w:rsidRDefault="006E70E0" w:rsidP="006358E9">
      <w:pPr>
        <w:pStyle w:val="Prrafodelista"/>
        <w:numPr>
          <w:ilvl w:val="0"/>
          <w:numId w:val="26"/>
        </w:numPr>
      </w:pPr>
      <w:r>
        <w:rPr>
          <w:b/>
        </w:rPr>
        <w:t>Energía Cerro El Morado:</w:t>
      </w:r>
      <w:r>
        <w:t xml:space="preserve"> </w:t>
      </w:r>
      <w:r w:rsidRPr="006E70E0">
        <w:t>Coordinado realizó pruebas de integración pero presentó problemas en la celda de generación</w:t>
      </w:r>
      <w:r>
        <w:t>. S</w:t>
      </w:r>
      <w:r w:rsidRPr="006E70E0">
        <w:t>e encuentran regularizando los enlaces de comunicación y equipamiento.</w:t>
      </w:r>
    </w:p>
    <w:p w14:paraId="66B445F9" w14:textId="242F4DDB" w:rsidR="006E70E0" w:rsidRPr="006E70E0" w:rsidRDefault="006E70E0" w:rsidP="006E70E0">
      <w:pPr>
        <w:pStyle w:val="Prrafodelista"/>
        <w:ind w:left="426"/>
        <w:rPr>
          <w:b/>
          <w:u w:val="single"/>
        </w:rPr>
      </w:pPr>
      <w:r w:rsidRPr="006E70E0">
        <w:rPr>
          <w:b/>
          <w:u w:val="single"/>
        </w:rPr>
        <w:t>ERAG</w:t>
      </w:r>
    </w:p>
    <w:p w14:paraId="45541511" w14:textId="057B854A" w:rsidR="006E70E0" w:rsidRDefault="006E70E0" w:rsidP="006358E9">
      <w:pPr>
        <w:pStyle w:val="Prrafodelista"/>
        <w:numPr>
          <w:ilvl w:val="0"/>
          <w:numId w:val="26"/>
        </w:numPr>
      </w:pPr>
      <w:r>
        <w:rPr>
          <w:b/>
        </w:rPr>
        <w:t>Enel Generación:</w:t>
      </w:r>
      <w:r>
        <w:t xml:space="preserve"> </w:t>
      </w:r>
      <w:r w:rsidRPr="006E70E0">
        <w:t>Mediante carta DE06091-19 el Coordinador solicitó puesta en servicio</w:t>
      </w:r>
      <w:r w:rsidR="0061435F">
        <w:t xml:space="preserve">. </w:t>
      </w:r>
      <w:r w:rsidRPr="006E70E0">
        <w:t>ENEL manif</w:t>
      </w:r>
      <w:r w:rsidR="0061435F">
        <w:t>iesta</w:t>
      </w:r>
      <w:r w:rsidRPr="006E70E0">
        <w:t xml:space="preserve"> que el automat</w:t>
      </w:r>
      <w:r>
        <w:t>i</w:t>
      </w:r>
      <w:r w:rsidRPr="006E70E0">
        <w:t>smo no estaba en condiciones de habilitarse.</w:t>
      </w:r>
    </w:p>
    <w:p w14:paraId="51F674BC" w14:textId="598084BE" w:rsidR="006E70E0" w:rsidRDefault="006E70E0" w:rsidP="006358E9">
      <w:pPr>
        <w:pStyle w:val="Prrafodelista"/>
        <w:numPr>
          <w:ilvl w:val="0"/>
          <w:numId w:val="26"/>
        </w:numPr>
      </w:pPr>
      <w:r>
        <w:rPr>
          <w:b/>
        </w:rPr>
        <w:t>Parque Eólico Taltal:</w:t>
      </w:r>
      <w:r>
        <w:t xml:space="preserve"> </w:t>
      </w:r>
      <w:r w:rsidRPr="006E70E0">
        <w:t>Mediante carta DE06091-19 el Coordinador solicitó puesta en servicio</w:t>
      </w:r>
      <w:r w:rsidR="0061435F">
        <w:t xml:space="preserve">. </w:t>
      </w:r>
      <w:r w:rsidRPr="006E70E0">
        <w:t>ENEL manif</w:t>
      </w:r>
      <w:r w:rsidR="0061435F">
        <w:t>iesta</w:t>
      </w:r>
      <w:r w:rsidRPr="006E70E0">
        <w:t xml:space="preserve"> que el automat</w:t>
      </w:r>
      <w:r>
        <w:t>i</w:t>
      </w:r>
      <w:r w:rsidRPr="006E70E0">
        <w:t>smo no estaba en condiciones de habilitarse.</w:t>
      </w:r>
    </w:p>
    <w:p w14:paraId="4AF40B2D" w14:textId="00A10386" w:rsidR="006E70E0" w:rsidRDefault="006E70E0" w:rsidP="006358E9">
      <w:pPr>
        <w:pStyle w:val="Prrafodelista"/>
        <w:numPr>
          <w:ilvl w:val="0"/>
          <w:numId w:val="26"/>
        </w:numPr>
      </w:pPr>
      <w:r w:rsidRPr="006E70E0">
        <w:rPr>
          <w:b/>
          <w:bCs/>
        </w:rPr>
        <w:t>Conejo Solar:</w:t>
      </w:r>
      <w:r>
        <w:t xml:space="preserve"> </w:t>
      </w:r>
      <w:r w:rsidRPr="006E70E0">
        <w:t>Mediante carta DE06091-19 el Coordinador solicitó puesta en servicio</w:t>
      </w:r>
      <w:r w:rsidR="0061435F">
        <w:t>. El Coordinado</w:t>
      </w:r>
      <w:r w:rsidRPr="006E70E0">
        <w:t xml:space="preserve"> manif</w:t>
      </w:r>
      <w:r w:rsidR="0061435F">
        <w:t>iesta</w:t>
      </w:r>
      <w:r w:rsidRPr="006E70E0">
        <w:t xml:space="preserve"> que el automat</w:t>
      </w:r>
      <w:r>
        <w:t>i</w:t>
      </w:r>
      <w:r w:rsidRPr="006E70E0">
        <w:t>smo no estaba en condiciones de habilitarse.</w:t>
      </w:r>
    </w:p>
    <w:p w14:paraId="435CB849" w14:textId="23010902" w:rsidR="006E70E0" w:rsidRDefault="006E70E0" w:rsidP="006358E9">
      <w:pPr>
        <w:pStyle w:val="Prrafodelista"/>
        <w:numPr>
          <w:ilvl w:val="0"/>
          <w:numId w:val="26"/>
        </w:numPr>
      </w:pPr>
      <w:r>
        <w:rPr>
          <w:b/>
          <w:bCs/>
        </w:rPr>
        <w:t>Energía Cerro El Morado:</w:t>
      </w:r>
      <w:r>
        <w:t xml:space="preserve"> </w:t>
      </w:r>
      <w:r w:rsidRPr="006E70E0">
        <w:t>Coordinado realizó pruebas de integración pero presentó problemas en la celda de generación</w:t>
      </w:r>
      <w:r w:rsidR="0061435F">
        <w:t>.</w:t>
      </w:r>
      <w:r w:rsidRPr="006E70E0">
        <w:t xml:space="preserve"> </w:t>
      </w:r>
      <w:r w:rsidR="0061435F">
        <w:t>S</w:t>
      </w:r>
      <w:r w:rsidRPr="006E70E0">
        <w:t>e encuentran regularizando los enlaces de comunicación y equipamiento.</w:t>
      </w:r>
    </w:p>
    <w:p w14:paraId="3FF4A75D" w14:textId="68850D13" w:rsidR="003408CD" w:rsidRPr="00054689" w:rsidRDefault="003408CD" w:rsidP="003408CD">
      <w:pPr>
        <w:ind w:left="360"/>
      </w:pPr>
      <w:r w:rsidRPr="00054689">
        <w:t>Detalle de los antecedentes recopilados en relación a este tema</w:t>
      </w:r>
      <w:r w:rsidR="004576A1">
        <w:t xml:space="preserve"> disponibles en </w:t>
      </w:r>
      <w:r w:rsidRPr="00054689">
        <w:t>Anexo.</w:t>
      </w:r>
    </w:p>
    <w:p w14:paraId="27C57467" w14:textId="29F6D456" w:rsidR="003A06F5" w:rsidRPr="007624BB" w:rsidRDefault="008F3789" w:rsidP="003A06F5">
      <w:pPr>
        <w:pStyle w:val="Ttulo2"/>
        <w:rPr>
          <w:color w:val="auto"/>
        </w:rPr>
      </w:pPr>
      <w:bookmarkStart w:id="30" w:name="_Toc415240029"/>
      <w:bookmarkStart w:id="31" w:name="_Toc446506922"/>
      <w:bookmarkStart w:id="32" w:name="_Toc447127742"/>
      <w:bookmarkStart w:id="33" w:name="_Toc34319834"/>
      <w:r w:rsidRPr="007624BB">
        <w:rPr>
          <w:caps w:val="0"/>
          <w:color w:val="auto"/>
        </w:rPr>
        <w:lastRenderedPageBreak/>
        <w:t>INFORMACIÓN TÉCNICA</w:t>
      </w:r>
      <w:bookmarkEnd w:id="30"/>
      <w:bookmarkEnd w:id="31"/>
      <w:bookmarkEnd w:id="32"/>
      <w:r w:rsidR="00DC3B8C">
        <w:rPr>
          <w:caps w:val="0"/>
          <w:color w:val="auto"/>
        </w:rPr>
        <w:t xml:space="preserve"> DE INSTALACIONES Y EQUIPAMIENTOS</w:t>
      </w:r>
      <w:bookmarkEnd w:id="33"/>
    </w:p>
    <w:p w14:paraId="5D0F502F" w14:textId="0B145E49" w:rsidR="0065445A" w:rsidRPr="00C14137" w:rsidRDefault="0065445A" w:rsidP="0065445A">
      <w:r w:rsidRPr="00C14137">
        <w:t>De acuerdo a lo dis</w:t>
      </w:r>
      <w:r w:rsidRPr="00D93244">
        <w:t>puesto en el Capítul</w:t>
      </w:r>
      <w:r w:rsidRPr="00DC3B8C">
        <w:t xml:space="preserve">o </w:t>
      </w:r>
      <w:r w:rsidR="00274CC0" w:rsidRPr="00DC3B8C">
        <w:t>6</w:t>
      </w:r>
      <w:r w:rsidR="00DC3B8C" w:rsidRPr="00DC3B8C">
        <w:t>-2</w:t>
      </w:r>
      <w:r w:rsidRPr="00D93244">
        <w:t xml:space="preserve"> de la NTSyCS, </w:t>
      </w:r>
      <w:r w:rsidR="00C9569D" w:rsidRPr="00D93244">
        <w:t>el</w:t>
      </w:r>
      <w:r w:rsidR="00C9569D" w:rsidRPr="00C14137">
        <w:t xml:space="preserve"> Coordinador</w:t>
      </w:r>
      <w:r w:rsidRPr="00C14137">
        <w:t xml:space="preserve"> evalúa la </w:t>
      </w:r>
      <w:r w:rsidR="009A4762" w:rsidRPr="00C14137">
        <w:t>e</w:t>
      </w:r>
      <w:r w:rsidRPr="00C14137">
        <w:t xml:space="preserve">ntrega de la Información Técnica midiendo la cantidad de datos entregados por </w:t>
      </w:r>
      <w:r w:rsidR="002E0B13" w:rsidRPr="00C14137">
        <w:t>Coordinado</w:t>
      </w:r>
      <w:r w:rsidRPr="00C14137">
        <w:t xml:space="preserve"> como porcentaje del total de información que debe ingresar a las fichas técnicas de sus instalaciones. </w:t>
      </w:r>
    </w:p>
    <w:p w14:paraId="2F8400D4" w14:textId="3BF23D91" w:rsidR="00F76D4B" w:rsidRDefault="0065445A" w:rsidP="0065445A">
      <w:r w:rsidRPr="00C14137">
        <w:t>El porcentaje de cumplimiento consolidado de los Coordinados para el año 201</w:t>
      </w:r>
      <w:r w:rsidR="007624BB">
        <w:t xml:space="preserve">9 </w:t>
      </w:r>
      <w:r w:rsidRPr="00C14137">
        <w:t>es de</w:t>
      </w:r>
      <w:r w:rsidR="005818CF" w:rsidRPr="00C14137">
        <w:t>l orden del</w:t>
      </w:r>
      <w:r w:rsidRPr="00C14137">
        <w:t xml:space="preserve"> </w:t>
      </w:r>
      <w:r w:rsidR="00C14137" w:rsidRPr="00C14137">
        <w:t>7</w:t>
      </w:r>
      <w:r w:rsidR="000A3AB6">
        <w:t>0</w:t>
      </w:r>
      <w:r w:rsidR="006B5BA7" w:rsidRPr="00C14137">
        <w:t>,</w:t>
      </w:r>
      <w:r w:rsidR="000A3AB6">
        <w:t>0</w:t>
      </w:r>
      <w:r w:rsidRPr="00C14137">
        <w:t>%</w:t>
      </w:r>
      <w:r w:rsidR="00CA6F8E">
        <w:t xml:space="preserve"> (dimensión completitud)</w:t>
      </w:r>
      <w:r w:rsidR="0093118A" w:rsidRPr="00C14137">
        <w:t>.</w:t>
      </w:r>
      <w:r w:rsidRPr="00C14137">
        <w:t xml:space="preserve"> </w:t>
      </w:r>
      <w:r w:rsidR="005818CF" w:rsidRPr="00C14137">
        <w:t>El detalle de la información utilizada para efectos de cuantificar este nivel de cumplimiento, se proporcionan en archivo Anexo.</w:t>
      </w:r>
    </w:p>
    <w:p w14:paraId="5730BD37" w14:textId="77777777" w:rsidR="000A3AB6" w:rsidRPr="00C14137" w:rsidRDefault="000A3AB6" w:rsidP="0065445A"/>
    <w:p w14:paraId="7620921D" w14:textId="702228BD" w:rsidR="002D6A52" w:rsidRPr="00C14137" w:rsidRDefault="000A3AB6" w:rsidP="002D6A52">
      <w:pPr>
        <w:keepNext/>
        <w:jc w:val="center"/>
      </w:pPr>
      <w:r>
        <w:rPr>
          <w:noProof/>
        </w:rPr>
        <w:drawing>
          <wp:inline distT="0" distB="0" distL="0" distR="0" wp14:anchorId="53BBD30C" wp14:editId="634DD506">
            <wp:extent cx="5806272" cy="2626242"/>
            <wp:effectExtent l="0" t="0" r="4445" b="317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3317" cy="2633952"/>
                    </a:xfrm>
                    <a:prstGeom prst="rect">
                      <a:avLst/>
                    </a:prstGeom>
                    <a:noFill/>
                  </pic:spPr>
                </pic:pic>
              </a:graphicData>
            </a:graphic>
          </wp:inline>
        </w:drawing>
      </w:r>
    </w:p>
    <w:p w14:paraId="5A925F37" w14:textId="7EAB9C1E" w:rsidR="00E13DE3" w:rsidRPr="00C14137" w:rsidRDefault="002D6A52" w:rsidP="002D6A52">
      <w:pPr>
        <w:pStyle w:val="Descripcin"/>
      </w:pPr>
      <w:r w:rsidRPr="00C14137">
        <w:t>Figura</w:t>
      </w:r>
      <w:r w:rsidR="000659A8" w:rsidRPr="00C14137">
        <w:t xml:space="preserve"> 6</w:t>
      </w:r>
      <w:r w:rsidRPr="00C14137">
        <w:t xml:space="preserve">: Distribución del cumplimiento de información </w:t>
      </w:r>
      <w:r w:rsidR="00C14137" w:rsidRPr="00C14137">
        <w:t>de Coordinados para el año 201</w:t>
      </w:r>
      <w:r w:rsidR="00A57F8C">
        <w:t>9</w:t>
      </w:r>
      <w:r w:rsidRPr="00C14137">
        <w:t>.</w:t>
      </w:r>
    </w:p>
    <w:p w14:paraId="3C5BA469" w14:textId="77777777" w:rsidR="00881E2C" w:rsidRPr="000A3AB6" w:rsidRDefault="00881E2C" w:rsidP="00881E2C">
      <w:pPr>
        <w:rPr>
          <w:color w:val="080808"/>
        </w:rPr>
      </w:pPr>
    </w:p>
    <w:p w14:paraId="22BF2B69" w14:textId="77777777" w:rsidR="00881E2C" w:rsidRPr="000A3AB6" w:rsidRDefault="00881E2C" w:rsidP="00BE552C">
      <w:pPr>
        <w:keepNext/>
        <w:jc w:val="center"/>
        <w:rPr>
          <w:color w:val="080808"/>
        </w:rPr>
      </w:pPr>
    </w:p>
    <w:p w14:paraId="1AF117C4" w14:textId="77777777" w:rsidR="00881E2C" w:rsidRPr="000A3AB6" w:rsidRDefault="00881E2C" w:rsidP="00881E2C">
      <w:pPr>
        <w:keepNext/>
        <w:jc w:val="center"/>
        <w:rPr>
          <w:color w:val="080808"/>
        </w:rPr>
      </w:pPr>
    </w:p>
    <w:p w14:paraId="2E296BA8" w14:textId="77777777" w:rsidR="00881E2C" w:rsidRPr="000A3AB6" w:rsidRDefault="00881E2C" w:rsidP="00881E2C">
      <w:pPr>
        <w:keepNext/>
        <w:jc w:val="center"/>
        <w:rPr>
          <w:color w:val="080808"/>
        </w:rPr>
      </w:pPr>
    </w:p>
    <w:p w14:paraId="0613E161" w14:textId="77777777" w:rsidR="00881E2C" w:rsidRPr="000A3AB6" w:rsidRDefault="00881E2C" w:rsidP="00881E2C">
      <w:pPr>
        <w:keepNext/>
        <w:jc w:val="center"/>
        <w:rPr>
          <w:color w:val="080808"/>
        </w:rPr>
      </w:pPr>
    </w:p>
    <w:p w14:paraId="43B9F571" w14:textId="77777777" w:rsidR="00BE2BCD" w:rsidRPr="000A3AB6" w:rsidRDefault="00BE2BCD" w:rsidP="004B1B79">
      <w:pPr>
        <w:jc w:val="center"/>
        <w:rPr>
          <w:color w:val="080808"/>
        </w:rPr>
      </w:pPr>
    </w:p>
    <w:p w14:paraId="5009DA86" w14:textId="77777777" w:rsidR="00881E2C" w:rsidRPr="000A3AB6" w:rsidRDefault="00881E2C" w:rsidP="00BE2BCD">
      <w:pPr>
        <w:jc w:val="center"/>
        <w:rPr>
          <w:color w:val="080808"/>
        </w:rPr>
      </w:pPr>
    </w:p>
    <w:p w14:paraId="251124CB" w14:textId="77777777" w:rsidR="003A06F5" w:rsidRPr="00DC3B8C" w:rsidRDefault="008F3789" w:rsidP="003A06F5">
      <w:pPr>
        <w:pStyle w:val="Ttulo2"/>
        <w:rPr>
          <w:color w:val="auto"/>
        </w:rPr>
      </w:pPr>
      <w:bookmarkStart w:id="34" w:name="_Toc447127743"/>
      <w:bookmarkStart w:id="35" w:name="_Toc34319835"/>
      <w:r w:rsidRPr="00DC3B8C">
        <w:rPr>
          <w:caps w:val="0"/>
          <w:color w:val="auto"/>
        </w:rPr>
        <w:lastRenderedPageBreak/>
        <w:t>IMPLEMENTACIÓN DE PLANES DE RECUPERACIÓN DE SERVICIO (PRS)</w:t>
      </w:r>
      <w:bookmarkEnd w:id="34"/>
      <w:bookmarkEnd w:id="35"/>
    </w:p>
    <w:p w14:paraId="1DBD389E" w14:textId="77777777" w:rsidR="00FC2DE4" w:rsidRPr="00DC3B8C" w:rsidRDefault="00E30402" w:rsidP="00FC2DE4">
      <w:pPr>
        <w:pStyle w:val="Ttulo3"/>
      </w:pPr>
      <w:bookmarkStart w:id="36" w:name="_Toc450225060"/>
      <w:bookmarkStart w:id="37" w:name="_Toc34319836"/>
      <w:r w:rsidRPr="00DC3B8C">
        <w:rPr>
          <w:caps w:val="0"/>
        </w:rPr>
        <w:t>IMPLEMENTACIÓN</w:t>
      </w:r>
      <w:bookmarkEnd w:id="36"/>
      <w:bookmarkEnd w:id="37"/>
    </w:p>
    <w:p w14:paraId="7F31DA10" w14:textId="745554B5" w:rsidR="00FC2DE4" w:rsidRPr="00D93244" w:rsidRDefault="00FC2DE4" w:rsidP="00FC2DE4">
      <w:r w:rsidRPr="006B410A">
        <w:t>De acuerdo a lo indicado en el Estudio para PRS vigente y lo dispuesto en el Título</w:t>
      </w:r>
      <w:r w:rsidR="00DC3B8C">
        <w:t xml:space="preserve"> 7-6</w:t>
      </w:r>
      <w:r w:rsidRPr="006B410A">
        <w:t xml:space="preserve"> de la NTSyCS, de </w:t>
      </w:r>
      <w:r w:rsidRPr="00D93244">
        <w:t xml:space="preserve">las medidas propuestas y los porcentajes de implementación, se </w:t>
      </w:r>
      <w:r w:rsidR="004D55CA" w:rsidRPr="00D93244">
        <w:t xml:space="preserve">dispone de un conjunto de </w:t>
      </w:r>
      <w:r w:rsidR="00A1010C" w:rsidRPr="00D93244">
        <w:t>4</w:t>
      </w:r>
      <w:r w:rsidR="004D55CA" w:rsidRPr="00D93244">
        <w:t xml:space="preserve"> pendientes, cuyo detalle se presenta en Anexo.</w:t>
      </w:r>
    </w:p>
    <w:p w14:paraId="3687A1C2" w14:textId="77777777" w:rsidR="00FC2DE4" w:rsidRPr="00D93244" w:rsidRDefault="00E30402" w:rsidP="00FC2DE4">
      <w:pPr>
        <w:pStyle w:val="Ttulo3"/>
      </w:pPr>
      <w:bookmarkStart w:id="38" w:name="_Toc450225061"/>
      <w:bookmarkStart w:id="39" w:name="_Toc34319837"/>
      <w:r w:rsidRPr="00D93244">
        <w:rPr>
          <w:caps w:val="0"/>
        </w:rPr>
        <w:t>PRUEBAS DE VERIFICACIÓN</w:t>
      </w:r>
      <w:bookmarkEnd w:id="38"/>
      <w:bookmarkEnd w:id="39"/>
    </w:p>
    <w:p w14:paraId="0C555264" w14:textId="77777777" w:rsidR="00D034AB" w:rsidRPr="000F465B" w:rsidRDefault="00FC2DE4" w:rsidP="00F76D4B">
      <w:r w:rsidRPr="00D93244">
        <w:t xml:space="preserve">Las unidades generadoras declaradas con partida autónoma deben realizar al menos una prueba bi-anual certificada por un ente externo, previamente coordinada por </w:t>
      </w:r>
      <w:r w:rsidR="00D72934" w:rsidRPr="00D93244">
        <w:t>el Coordinador</w:t>
      </w:r>
      <w:r w:rsidRPr="00D93244">
        <w:t xml:space="preserve">. Del mismo modo, cada Coordinado deberá realizar una prueba anual certificada por un ente externo a la empresa, con la cual se verifique el correcto funcionamiento de los esquemas de telecontrol establecidos para la aplicación del PRS, simulando condiciones equivalentes a un </w:t>
      </w:r>
      <w:r w:rsidRPr="000F465B">
        <w:t xml:space="preserve">apagón total. </w:t>
      </w:r>
    </w:p>
    <w:p w14:paraId="62B50E10" w14:textId="77777777" w:rsidR="000F465B" w:rsidRPr="00D93244" w:rsidRDefault="000F465B" w:rsidP="000F465B">
      <w:pPr>
        <w:spacing w:before="0" w:after="160" w:line="259" w:lineRule="auto"/>
      </w:pPr>
      <w:bookmarkStart w:id="40" w:name="_Ref2852161"/>
      <w:r w:rsidRPr="000F465B">
        <w:t xml:space="preserve">Durante el año 2019 se realizaron pruebas de verificación de partida autónoma a 3 de las centrales que se muestran en la </w:t>
      </w:r>
      <w:r w:rsidRPr="000F465B">
        <w:fldChar w:fldCharType="begin"/>
      </w:r>
      <w:r w:rsidRPr="000F465B">
        <w:instrText xml:space="preserve"> REF _Ref3214890 \h  \* MERGEFORMAT </w:instrText>
      </w:r>
      <w:r w:rsidRPr="000F465B">
        <w:fldChar w:fldCharType="separate"/>
      </w:r>
      <w:r w:rsidRPr="000F465B">
        <w:t xml:space="preserve">Tabla </w:t>
      </w:r>
      <w:r w:rsidRPr="000F465B">
        <w:rPr>
          <w:noProof/>
        </w:rPr>
        <w:t>2</w:t>
      </w:r>
      <w:r w:rsidRPr="000F465B">
        <w:fldChar w:fldCharType="end"/>
      </w:r>
      <w:r w:rsidRPr="000F465B">
        <w:t xml:space="preserve">. Respecto del sistema SCADA, lo vigente se presenta en la </w:t>
      </w:r>
      <w:r w:rsidRPr="000F465B">
        <w:fldChar w:fldCharType="begin"/>
      </w:r>
      <w:r w:rsidRPr="000F465B">
        <w:instrText xml:space="preserve"> REF _Ref2852184 \h  \* MERGEFORMAT </w:instrText>
      </w:r>
      <w:r w:rsidRPr="000F465B">
        <w:fldChar w:fldCharType="separate"/>
      </w:r>
      <w:r w:rsidRPr="000F465B">
        <w:t xml:space="preserve">Tabla </w:t>
      </w:r>
      <w:r w:rsidRPr="000F465B">
        <w:rPr>
          <w:noProof/>
        </w:rPr>
        <w:t>3</w:t>
      </w:r>
      <w:r w:rsidRPr="000F465B">
        <w:fldChar w:fldCharType="end"/>
      </w:r>
      <w:r w:rsidRPr="000F465B">
        <w:t>.</w:t>
      </w:r>
    </w:p>
    <w:p w14:paraId="6BE977ED" w14:textId="77777777" w:rsidR="00D93244" w:rsidRDefault="00D93244">
      <w:pPr>
        <w:spacing w:before="0" w:after="160" w:line="259" w:lineRule="auto"/>
        <w:jc w:val="left"/>
        <w:rPr>
          <w:iCs/>
          <w:sz w:val="20"/>
          <w:szCs w:val="18"/>
        </w:rPr>
      </w:pPr>
      <w:r>
        <w:br w:type="page"/>
      </w:r>
    </w:p>
    <w:p w14:paraId="76AAB422" w14:textId="2F1B5773" w:rsidR="00D068A5" w:rsidRPr="00D93244" w:rsidRDefault="00D068A5" w:rsidP="00D068A5">
      <w:pPr>
        <w:pStyle w:val="Descripcin"/>
        <w:keepNext/>
      </w:pPr>
      <w:bookmarkStart w:id="41" w:name="_Ref3214890"/>
      <w:r w:rsidRPr="00DC3B8C">
        <w:lastRenderedPageBreak/>
        <w:t xml:space="preserve">Tabla </w:t>
      </w:r>
      <w:r w:rsidRPr="00DC3B8C">
        <w:rPr>
          <w:noProof/>
        </w:rPr>
        <w:fldChar w:fldCharType="begin"/>
      </w:r>
      <w:r w:rsidRPr="00DC3B8C">
        <w:rPr>
          <w:noProof/>
        </w:rPr>
        <w:instrText xml:space="preserve"> SEQ Tabla \* ARABIC </w:instrText>
      </w:r>
      <w:r w:rsidRPr="00DC3B8C">
        <w:rPr>
          <w:noProof/>
        </w:rPr>
        <w:fldChar w:fldCharType="separate"/>
      </w:r>
      <w:r w:rsidR="00B62914" w:rsidRPr="00DC3B8C">
        <w:rPr>
          <w:noProof/>
        </w:rPr>
        <w:t>2</w:t>
      </w:r>
      <w:r w:rsidRPr="00DC3B8C">
        <w:rPr>
          <w:noProof/>
        </w:rPr>
        <w:fldChar w:fldCharType="end"/>
      </w:r>
      <w:bookmarkEnd w:id="40"/>
      <w:bookmarkEnd w:id="41"/>
      <w:r w:rsidRPr="00DC3B8C">
        <w:t>: Pruebas de funcionamiento Partida Autónoma de Centrales.</w:t>
      </w:r>
    </w:p>
    <w:tbl>
      <w:tblPr>
        <w:tblStyle w:val="Listaclara-nfasis2"/>
        <w:tblW w:w="5327" w:type="dxa"/>
        <w:jc w:val="center"/>
        <w:tblBorders>
          <w:insideH w:val="single" w:sz="8" w:space="0" w:color="2CAFA4" w:themeColor="accent2"/>
          <w:insideV w:val="single" w:sz="8" w:space="0" w:color="2CAFA4" w:themeColor="accent2"/>
        </w:tblBorders>
        <w:tblLook w:val="04A0" w:firstRow="1" w:lastRow="0" w:firstColumn="1" w:lastColumn="0" w:noHBand="0" w:noVBand="1"/>
      </w:tblPr>
      <w:tblGrid>
        <w:gridCol w:w="2120"/>
        <w:gridCol w:w="1535"/>
        <w:gridCol w:w="1672"/>
      </w:tblGrid>
      <w:tr w:rsidR="00D068A5" w:rsidRPr="00944E5B" w14:paraId="161427E1" w14:textId="77777777" w:rsidTr="003B5B0B">
        <w:trPr>
          <w:cnfStyle w:val="100000000000" w:firstRow="1" w:lastRow="0" w:firstColumn="0" w:lastColumn="0" w:oddVBand="0" w:evenVBand="0" w:oddHBand="0" w:evenHBand="0" w:firstRowFirstColumn="0" w:firstRowLastColumn="0" w:lastRowFirstColumn="0" w:lastRowLastColumn="0"/>
          <w:trHeight w:val="494"/>
          <w:jc w:val="center"/>
        </w:trPr>
        <w:tc>
          <w:tcPr>
            <w:cnfStyle w:val="001000000000" w:firstRow="0" w:lastRow="0" w:firstColumn="1" w:lastColumn="0" w:oddVBand="0" w:evenVBand="0" w:oddHBand="0" w:evenHBand="0" w:firstRowFirstColumn="0" w:firstRowLastColumn="0" w:lastRowFirstColumn="0" w:lastRowLastColumn="0"/>
            <w:tcW w:w="2120" w:type="dxa"/>
            <w:vMerge w:val="restart"/>
            <w:shd w:val="clear" w:color="auto" w:fill="00AEC5" w:themeFill="accent1"/>
            <w:noWrap/>
            <w:vAlign w:val="center"/>
            <w:hideMark/>
          </w:tcPr>
          <w:p w14:paraId="0DCD7211" w14:textId="77777777" w:rsidR="00D068A5" w:rsidRPr="00D068A5" w:rsidRDefault="00D068A5" w:rsidP="00D068A5">
            <w:pPr>
              <w:pStyle w:val="Sinespaciado"/>
              <w:jc w:val="center"/>
              <w:rPr>
                <w:rFonts w:eastAsia="Times New Roman"/>
                <w:b w:val="0"/>
                <w:bCs w:val="0"/>
                <w:color w:val="FFFFFF"/>
              </w:rPr>
            </w:pPr>
            <w:r w:rsidRPr="00D068A5">
              <w:rPr>
                <w:rFonts w:eastAsia="Times New Roman"/>
                <w:color w:val="FFFFFF"/>
              </w:rPr>
              <w:t>Central</w:t>
            </w:r>
          </w:p>
          <w:p w14:paraId="1D9DB771" w14:textId="77777777" w:rsidR="00D068A5" w:rsidRPr="00D068A5" w:rsidRDefault="00D068A5" w:rsidP="00D068A5">
            <w:pPr>
              <w:pStyle w:val="Sinespaciado"/>
              <w:jc w:val="center"/>
              <w:rPr>
                <w:rFonts w:eastAsia="Times New Roman"/>
                <w:color w:val="FFFFFF"/>
              </w:rPr>
            </w:pPr>
          </w:p>
        </w:tc>
        <w:tc>
          <w:tcPr>
            <w:tcW w:w="3207" w:type="dxa"/>
            <w:gridSpan w:val="2"/>
            <w:shd w:val="clear" w:color="auto" w:fill="00AEC5" w:themeFill="accent1"/>
            <w:noWrap/>
            <w:vAlign w:val="center"/>
          </w:tcPr>
          <w:p w14:paraId="4693258B" w14:textId="77777777" w:rsidR="00D068A5" w:rsidRPr="00D068A5" w:rsidRDefault="00D068A5" w:rsidP="00B91669">
            <w:pPr>
              <w:pStyle w:val="Sinespaciado"/>
              <w:jc w:val="center"/>
              <w:cnfStyle w:val="100000000000" w:firstRow="1" w:lastRow="0" w:firstColumn="0" w:lastColumn="0" w:oddVBand="0" w:evenVBand="0" w:oddHBand="0" w:evenHBand="0" w:firstRowFirstColumn="0" w:firstRowLastColumn="0" w:lastRowFirstColumn="0" w:lastRowLastColumn="0"/>
              <w:rPr>
                <w:rFonts w:eastAsia="Times New Roman"/>
                <w:color w:val="FFFFFF"/>
              </w:rPr>
            </w:pPr>
            <w:r w:rsidRPr="00D068A5">
              <w:rPr>
                <w:rFonts w:eastAsia="Times New Roman"/>
                <w:color w:val="FFFFFF"/>
              </w:rPr>
              <w:t>Porcentaje de Implementación</w:t>
            </w:r>
          </w:p>
        </w:tc>
      </w:tr>
      <w:tr w:rsidR="00D068A5" w:rsidRPr="00944E5B" w14:paraId="58BD65F9" w14:textId="77777777" w:rsidTr="00644F31">
        <w:trPr>
          <w:cnfStyle w:val="000000100000" w:firstRow="0" w:lastRow="0" w:firstColumn="0" w:lastColumn="0" w:oddVBand="0" w:evenVBand="0" w:oddHBand="1" w:evenHBand="0" w:firstRowFirstColumn="0" w:firstRowLastColumn="0" w:lastRowFirstColumn="0" w:lastRowLastColumn="0"/>
          <w:trHeight w:val="289"/>
          <w:jc w:val="center"/>
        </w:trPr>
        <w:tc>
          <w:tcPr>
            <w:cnfStyle w:val="001000000000" w:firstRow="0" w:lastRow="0" w:firstColumn="1" w:lastColumn="0" w:oddVBand="0" w:evenVBand="0" w:oddHBand="0" w:evenHBand="0" w:firstRowFirstColumn="0" w:firstRowLastColumn="0" w:lastRowFirstColumn="0" w:lastRowLastColumn="0"/>
            <w:tcW w:w="2120" w:type="dxa"/>
            <w:vMerge/>
            <w:tcBorders>
              <w:top w:val="none" w:sz="0" w:space="0" w:color="auto"/>
              <w:left w:val="none" w:sz="0" w:space="0" w:color="auto"/>
              <w:bottom w:val="none" w:sz="0" w:space="0" w:color="auto"/>
            </w:tcBorders>
            <w:shd w:val="clear" w:color="auto" w:fill="00AEC5" w:themeFill="accent1"/>
            <w:noWrap/>
            <w:vAlign w:val="center"/>
          </w:tcPr>
          <w:p w14:paraId="1E4AA92C" w14:textId="77777777" w:rsidR="00D068A5" w:rsidRPr="00D068A5" w:rsidRDefault="00D068A5" w:rsidP="00B91669">
            <w:pPr>
              <w:pStyle w:val="Sinespaciado"/>
              <w:rPr>
                <w:rFonts w:eastAsia="Times New Roman"/>
                <w:color w:val="FFFFFF"/>
              </w:rPr>
            </w:pPr>
          </w:p>
        </w:tc>
        <w:tc>
          <w:tcPr>
            <w:tcW w:w="1535" w:type="dxa"/>
            <w:tcBorders>
              <w:top w:val="none" w:sz="0" w:space="0" w:color="auto"/>
              <w:bottom w:val="none" w:sz="0" w:space="0" w:color="auto"/>
            </w:tcBorders>
            <w:shd w:val="clear" w:color="auto" w:fill="00AEC5" w:themeFill="accent1"/>
            <w:noWrap/>
            <w:vAlign w:val="center"/>
          </w:tcPr>
          <w:p w14:paraId="3148CCEF" w14:textId="77777777" w:rsidR="00D068A5" w:rsidRPr="00D068A5" w:rsidRDefault="00D068A5" w:rsidP="00B91669">
            <w:pPr>
              <w:pStyle w:val="Sinespaciado"/>
              <w:jc w:val="center"/>
              <w:cnfStyle w:val="000000100000" w:firstRow="0" w:lastRow="0" w:firstColumn="0" w:lastColumn="0" w:oddVBand="0" w:evenVBand="0" w:oddHBand="1" w:evenHBand="0" w:firstRowFirstColumn="0" w:firstRowLastColumn="0" w:lastRowFirstColumn="0" w:lastRowLastColumn="0"/>
              <w:rPr>
                <w:rFonts w:eastAsia="Times New Roman"/>
                <w:b/>
                <w:color w:val="FFFFFF"/>
              </w:rPr>
            </w:pPr>
            <w:r w:rsidRPr="00D068A5">
              <w:rPr>
                <w:rFonts w:eastAsia="Times New Roman"/>
                <w:b/>
                <w:color w:val="FFFFFF"/>
              </w:rPr>
              <w:t>Programado</w:t>
            </w:r>
          </w:p>
        </w:tc>
        <w:tc>
          <w:tcPr>
            <w:tcW w:w="1672" w:type="dxa"/>
            <w:tcBorders>
              <w:top w:val="none" w:sz="0" w:space="0" w:color="auto"/>
              <w:bottom w:val="none" w:sz="0" w:space="0" w:color="auto"/>
              <w:right w:val="none" w:sz="0" w:space="0" w:color="auto"/>
            </w:tcBorders>
            <w:shd w:val="clear" w:color="auto" w:fill="00AEC5" w:themeFill="accent1"/>
            <w:noWrap/>
            <w:vAlign w:val="center"/>
          </w:tcPr>
          <w:p w14:paraId="50EABF65" w14:textId="77777777" w:rsidR="00D068A5" w:rsidRPr="00D068A5" w:rsidRDefault="00D068A5" w:rsidP="00B91669">
            <w:pPr>
              <w:pStyle w:val="Sinespaciado"/>
              <w:jc w:val="center"/>
              <w:cnfStyle w:val="000000100000" w:firstRow="0" w:lastRow="0" w:firstColumn="0" w:lastColumn="0" w:oddVBand="0" w:evenVBand="0" w:oddHBand="1" w:evenHBand="0" w:firstRowFirstColumn="0" w:firstRowLastColumn="0" w:lastRowFirstColumn="0" w:lastRowLastColumn="0"/>
              <w:rPr>
                <w:rFonts w:eastAsia="Times New Roman"/>
                <w:b/>
                <w:color w:val="FFFFFF"/>
              </w:rPr>
            </w:pPr>
            <w:r w:rsidRPr="00D068A5">
              <w:rPr>
                <w:rFonts w:eastAsia="Times New Roman"/>
                <w:b/>
                <w:color w:val="FFFFFF"/>
              </w:rPr>
              <w:t>Real</w:t>
            </w:r>
          </w:p>
        </w:tc>
      </w:tr>
      <w:tr w:rsidR="0036786B" w:rsidRPr="00944E5B" w14:paraId="736A3E55" w14:textId="77777777" w:rsidTr="003B5B0B">
        <w:trPr>
          <w:trHeight w:hRule="exact" w:val="283"/>
          <w:jc w:val="center"/>
        </w:trPr>
        <w:tc>
          <w:tcPr>
            <w:cnfStyle w:val="001000000000" w:firstRow="0" w:lastRow="0" w:firstColumn="1" w:lastColumn="0" w:oddVBand="0" w:evenVBand="0" w:oddHBand="0" w:evenHBand="0" w:firstRowFirstColumn="0" w:firstRowLastColumn="0" w:lastRowFirstColumn="0" w:lastRowLastColumn="0"/>
            <w:tcW w:w="2120" w:type="dxa"/>
            <w:noWrap/>
            <w:vAlign w:val="center"/>
          </w:tcPr>
          <w:p w14:paraId="74FDEAF4" w14:textId="77777777" w:rsidR="0036786B" w:rsidRPr="00D93244" w:rsidRDefault="0036786B" w:rsidP="0036786B">
            <w:pPr>
              <w:spacing w:before="0" w:after="0" w:line="240" w:lineRule="auto"/>
              <w:jc w:val="center"/>
              <w:rPr>
                <w:rFonts w:ascii="Calibri" w:hAnsi="Calibri" w:cs="Calibri"/>
                <w:b w:val="0"/>
                <w:sz w:val="20"/>
                <w:szCs w:val="20"/>
              </w:rPr>
            </w:pPr>
            <w:r w:rsidRPr="00D93244">
              <w:rPr>
                <w:rFonts w:ascii="Calibri" w:hAnsi="Calibri" w:cs="Calibri"/>
                <w:b w:val="0"/>
                <w:sz w:val="20"/>
                <w:szCs w:val="20"/>
              </w:rPr>
              <w:t>Diego de Almagro</w:t>
            </w:r>
          </w:p>
        </w:tc>
        <w:tc>
          <w:tcPr>
            <w:tcW w:w="1535" w:type="dxa"/>
            <w:noWrap/>
            <w:vAlign w:val="center"/>
          </w:tcPr>
          <w:p w14:paraId="4C2B8940" w14:textId="6EC40587" w:rsidR="0036786B" w:rsidRPr="00D93244" w:rsidRDefault="0036786B" w:rsidP="0036786B">
            <w:pPr>
              <w:pStyle w:val="Sinespaciad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ascii="Calibri" w:hAnsi="Calibri" w:cs="Calibri"/>
                <w:sz w:val="20"/>
                <w:szCs w:val="20"/>
              </w:rPr>
              <w:t>100,0%</w:t>
            </w:r>
          </w:p>
        </w:tc>
        <w:tc>
          <w:tcPr>
            <w:tcW w:w="1672" w:type="dxa"/>
            <w:noWrap/>
            <w:vAlign w:val="center"/>
          </w:tcPr>
          <w:p w14:paraId="3D3D4AC5" w14:textId="26589FCE" w:rsidR="0036786B" w:rsidRPr="00D93244" w:rsidRDefault="0036786B" w:rsidP="0036786B">
            <w:pPr>
              <w:pStyle w:val="Sinespaciad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ascii="Calibri" w:hAnsi="Calibri" w:cs="Calibri"/>
                <w:sz w:val="20"/>
                <w:szCs w:val="20"/>
              </w:rPr>
              <w:t>0,0%</w:t>
            </w:r>
          </w:p>
        </w:tc>
      </w:tr>
      <w:tr w:rsidR="0036786B" w:rsidRPr="00944E5B" w14:paraId="19E8785E" w14:textId="77777777" w:rsidTr="003B5B0B">
        <w:trPr>
          <w:cnfStyle w:val="000000100000" w:firstRow="0" w:lastRow="0" w:firstColumn="0" w:lastColumn="0" w:oddVBand="0" w:evenVBand="0" w:oddHBand="1"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120" w:type="dxa"/>
            <w:tcBorders>
              <w:top w:val="none" w:sz="0" w:space="0" w:color="auto"/>
              <w:left w:val="none" w:sz="0" w:space="0" w:color="auto"/>
              <w:bottom w:val="none" w:sz="0" w:space="0" w:color="auto"/>
            </w:tcBorders>
            <w:noWrap/>
            <w:vAlign w:val="center"/>
          </w:tcPr>
          <w:p w14:paraId="4DE629C1" w14:textId="77777777" w:rsidR="0036786B" w:rsidRPr="00D93244" w:rsidRDefault="0036786B" w:rsidP="0036786B">
            <w:pPr>
              <w:spacing w:before="0" w:after="0"/>
              <w:jc w:val="center"/>
              <w:rPr>
                <w:rFonts w:ascii="Calibri" w:hAnsi="Calibri" w:cs="Calibri"/>
                <w:b w:val="0"/>
                <w:sz w:val="20"/>
                <w:szCs w:val="20"/>
              </w:rPr>
            </w:pPr>
            <w:r w:rsidRPr="00D93244">
              <w:rPr>
                <w:rFonts w:ascii="Calibri" w:hAnsi="Calibri" w:cs="Calibri"/>
                <w:b w:val="0"/>
                <w:sz w:val="20"/>
                <w:szCs w:val="20"/>
              </w:rPr>
              <w:t>Salvador</w:t>
            </w:r>
          </w:p>
        </w:tc>
        <w:tc>
          <w:tcPr>
            <w:tcW w:w="1535" w:type="dxa"/>
            <w:tcBorders>
              <w:top w:val="none" w:sz="0" w:space="0" w:color="auto"/>
              <w:bottom w:val="none" w:sz="0" w:space="0" w:color="auto"/>
            </w:tcBorders>
            <w:noWrap/>
            <w:vAlign w:val="center"/>
          </w:tcPr>
          <w:p w14:paraId="11DCBA17" w14:textId="4DA39428" w:rsidR="0036786B" w:rsidRPr="00D93244" w:rsidRDefault="0036786B" w:rsidP="0036786B">
            <w:pPr>
              <w:pStyle w:val="Sinespaciad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ascii="Calibri" w:hAnsi="Calibri" w:cs="Calibri"/>
                <w:sz w:val="20"/>
                <w:szCs w:val="20"/>
              </w:rPr>
              <w:t>100,0%</w:t>
            </w:r>
          </w:p>
        </w:tc>
        <w:tc>
          <w:tcPr>
            <w:tcW w:w="1672" w:type="dxa"/>
            <w:tcBorders>
              <w:top w:val="none" w:sz="0" w:space="0" w:color="auto"/>
              <w:bottom w:val="none" w:sz="0" w:space="0" w:color="auto"/>
              <w:right w:val="none" w:sz="0" w:space="0" w:color="auto"/>
            </w:tcBorders>
            <w:noWrap/>
            <w:vAlign w:val="center"/>
          </w:tcPr>
          <w:p w14:paraId="5BDBCA30" w14:textId="1BB32E2F" w:rsidR="0036786B" w:rsidRPr="00D93244" w:rsidRDefault="0036786B" w:rsidP="0036786B">
            <w:pPr>
              <w:pStyle w:val="Sinespaciad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ascii="Calibri" w:hAnsi="Calibri" w:cs="Calibri"/>
                <w:sz w:val="20"/>
                <w:szCs w:val="20"/>
              </w:rPr>
              <w:t>0,0%</w:t>
            </w:r>
          </w:p>
        </w:tc>
      </w:tr>
      <w:tr w:rsidR="0036786B" w:rsidRPr="00944E5B" w14:paraId="14699947" w14:textId="77777777" w:rsidTr="003B5B0B">
        <w:trPr>
          <w:trHeight w:hRule="exact" w:val="283"/>
          <w:jc w:val="center"/>
        </w:trPr>
        <w:tc>
          <w:tcPr>
            <w:cnfStyle w:val="001000000000" w:firstRow="0" w:lastRow="0" w:firstColumn="1" w:lastColumn="0" w:oddVBand="0" w:evenVBand="0" w:oddHBand="0" w:evenHBand="0" w:firstRowFirstColumn="0" w:firstRowLastColumn="0" w:lastRowFirstColumn="0" w:lastRowLastColumn="0"/>
            <w:tcW w:w="2120" w:type="dxa"/>
            <w:noWrap/>
            <w:vAlign w:val="center"/>
          </w:tcPr>
          <w:p w14:paraId="065E7B54" w14:textId="77777777" w:rsidR="0036786B" w:rsidRPr="00D93244" w:rsidRDefault="0036786B" w:rsidP="0036786B">
            <w:pPr>
              <w:spacing w:before="0" w:after="0"/>
              <w:jc w:val="center"/>
              <w:rPr>
                <w:rFonts w:ascii="Calibri" w:hAnsi="Calibri" w:cs="Calibri"/>
                <w:b w:val="0"/>
                <w:sz w:val="20"/>
                <w:szCs w:val="20"/>
              </w:rPr>
            </w:pPr>
            <w:r w:rsidRPr="00D93244">
              <w:rPr>
                <w:rFonts w:ascii="Calibri" w:hAnsi="Calibri" w:cs="Calibri"/>
                <w:b w:val="0"/>
                <w:sz w:val="20"/>
                <w:szCs w:val="20"/>
              </w:rPr>
              <w:t>Huasco TG</w:t>
            </w:r>
          </w:p>
        </w:tc>
        <w:tc>
          <w:tcPr>
            <w:tcW w:w="1535" w:type="dxa"/>
            <w:noWrap/>
            <w:vAlign w:val="center"/>
          </w:tcPr>
          <w:p w14:paraId="71ADFC6F" w14:textId="624F3ED6" w:rsidR="0036786B" w:rsidRPr="00D93244" w:rsidRDefault="0036786B" w:rsidP="0036786B">
            <w:pPr>
              <w:pStyle w:val="Sinespaciad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ascii="Calibri" w:hAnsi="Calibri" w:cs="Calibri"/>
                <w:sz w:val="20"/>
                <w:szCs w:val="20"/>
              </w:rPr>
              <w:t>100,0%</w:t>
            </w:r>
          </w:p>
        </w:tc>
        <w:tc>
          <w:tcPr>
            <w:tcW w:w="1672" w:type="dxa"/>
            <w:noWrap/>
            <w:vAlign w:val="center"/>
          </w:tcPr>
          <w:p w14:paraId="3ABA33FF" w14:textId="3E2C2899" w:rsidR="0036786B" w:rsidRPr="00D93244" w:rsidRDefault="0036786B" w:rsidP="0036786B">
            <w:pPr>
              <w:pStyle w:val="Sinespaciad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ascii="Calibri" w:hAnsi="Calibri" w:cs="Calibri"/>
                <w:sz w:val="20"/>
                <w:szCs w:val="20"/>
              </w:rPr>
              <w:t>0,0%</w:t>
            </w:r>
          </w:p>
        </w:tc>
      </w:tr>
      <w:tr w:rsidR="0036786B" w:rsidRPr="00944E5B" w14:paraId="01CF4029" w14:textId="77777777" w:rsidTr="003B5B0B">
        <w:trPr>
          <w:cnfStyle w:val="000000100000" w:firstRow="0" w:lastRow="0" w:firstColumn="0" w:lastColumn="0" w:oddVBand="0" w:evenVBand="0" w:oddHBand="1"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120" w:type="dxa"/>
            <w:tcBorders>
              <w:top w:val="none" w:sz="0" w:space="0" w:color="auto"/>
              <w:left w:val="none" w:sz="0" w:space="0" w:color="auto"/>
              <w:bottom w:val="none" w:sz="0" w:space="0" w:color="auto"/>
            </w:tcBorders>
            <w:noWrap/>
            <w:vAlign w:val="center"/>
          </w:tcPr>
          <w:p w14:paraId="3229F1E4" w14:textId="77777777" w:rsidR="0036786B" w:rsidRPr="00D93244" w:rsidRDefault="0036786B" w:rsidP="0036786B">
            <w:pPr>
              <w:spacing w:before="0" w:after="0"/>
              <w:jc w:val="center"/>
              <w:rPr>
                <w:rFonts w:ascii="Calibri" w:hAnsi="Calibri" w:cs="Calibri"/>
                <w:b w:val="0"/>
                <w:sz w:val="20"/>
                <w:szCs w:val="20"/>
              </w:rPr>
            </w:pPr>
            <w:r w:rsidRPr="00D93244">
              <w:rPr>
                <w:rFonts w:ascii="Calibri" w:hAnsi="Calibri" w:cs="Calibri"/>
                <w:b w:val="0"/>
                <w:sz w:val="20"/>
                <w:szCs w:val="20"/>
              </w:rPr>
              <w:t>El Peñón</w:t>
            </w:r>
          </w:p>
        </w:tc>
        <w:tc>
          <w:tcPr>
            <w:tcW w:w="1535" w:type="dxa"/>
            <w:tcBorders>
              <w:top w:val="none" w:sz="0" w:space="0" w:color="auto"/>
              <w:bottom w:val="none" w:sz="0" w:space="0" w:color="auto"/>
            </w:tcBorders>
            <w:noWrap/>
            <w:vAlign w:val="center"/>
          </w:tcPr>
          <w:p w14:paraId="0E317B0B" w14:textId="1D3F3A29" w:rsidR="0036786B" w:rsidRPr="00D93244" w:rsidRDefault="0036786B" w:rsidP="0036786B">
            <w:pPr>
              <w:pStyle w:val="Sinespaciad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ascii="Calibri" w:hAnsi="Calibri" w:cs="Calibri"/>
                <w:sz w:val="20"/>
                <w:szCs w:val="20"/>
              </w:rPr>
              <w:t>100,0%</w:t>
            </w:r>
          </w:p>
        </w:tc>
        <w:tc>
          <w:tcPr>
            <w:tcW w:w="1672" w:type="dxa"/>
            <w:tcBorders>
              <w:top w:val="none" w:sz="0" w:space="0" w:color="auto"/>
              <w:bottom w:val="none" w:sz="0" w:space="0" w:color="auto"/>
              <w:right w:val="none" w:sz="0" w:space="0" w:color="auto"/>
            </w:tcBorders>
            <w:noWrap/>
            <w:vAlign w:val="center"/>
          </w:tcPr>
          <w:p w14:paraId="1B4A05DA" w14:textId="0627D2F3" w:rsidR="0036786B" w:rsidRPr="00D93244" w:rsidRDefault="0036786B" w:rsidP="0036786B">
            <w:pPr>
              <w:pStyle w:val="Sinespaciad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ascii="Calibri" w:hAnsi="Calibri" w:cs="Calibri"/>
                <w:sz w:val="20"/>
                <w:szCs w:val="20"/>
              </w:rPr>
              <w:t>0,0%</w:t>
            </w:r>
          </w:p>
        </w:tc>
      </w:tr>
      <w:tr w:rsidR="0036786B" w:rsidRPr="00944E5B" w14:paraId="17D39F96" w14:textId="77777777" w:rsidTr="003B5B0B">
        <w:trPr>
          <w:trHeight w:hRule="exact" w:val="283"/>
          <w:jc w:val="center"/>
        </w:trPr>
        <w:tc>
          <w:tcPr>
            <w:cnfStyle w:val="001000000000" w:firstRow="0" w:lastRow="0" w:firstColumn="1" w:lastColumn="0" w:oddVBand="0" w:evenVBand="0" w:oddHBand="0" w:evenHBand="0" w:firstRowFirstColumn="0" w:firstRowLastColumn="0" w:lastRowFirstColumn="0" w:lastRowLastColumn="0"/>
            <w:tcW w:w="2120" w:type="dxa"/>
            <w:noWrap/>
            <w:vAlign w:val="center"/>
          </w:tcPr>
          <w:p w14:paraId="06DD0EB5" w14:textId="77777777" w:rsidR="0036786B" w:rsidRPr="00D93244" w:rsidRDefault="0036786B" w:rsidP="0036786B">
            <w:pPr>
              <w:spacing w:before="0" w:after="0"/>
              <w:jc w:val="center"/>
              <w:rPr>
                <w:rFonts w:ascii="Calibri" w:hAnsi="Calibri" w:cs="Calibri"/>
                <w:b w:val="0"/>
                <w:sz w:val="20"/>
                <w:szCs w:val="20"/>
              </w:rPr>
            </w:pPr>
            <w:r w:rsidRPr="00D93244">
              <w:rPr>
                <w:rFonts w:ascii="Calibri" w:hAnsi="Calibri" w:cs="Calibri"/>
                <w:b w:val="0"/>
                <w:sz w:val="20"/>
                <w:szCs w:val="20"/>
              </w:rPr>
              <w:t>Quintero</w:t>
            </w:r>
          </w:p>
        </w:tc>
        <w:tc>
          <w:tcPr>
            <w:tcW w:w="1535" w:type="dxa"/>
            <w:noWrap/>
            <w:vAlign w:val="center"/>
          </w:tcPr>
          <w:p w14:paraId="6989F6DE" w14:textId="271E1453" w:rsidR="0036786B" w:rsidRPr="00D93244" w:rsidRDefault="0036786B" w:rsidP="0036786B">
            <w:pPr>
              <w:pStyle w:val="Sinespaciad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ascii="Calibri" w:hAnsi="Calibri" w:cs="Calibri"/>
                <w:sz w:val="20"/>
                <w:szCs w:val="20"/>
              </w:rPr>
              <w:t>100,0%</w:t>
            </w:r>
          </w:p>
        </w:tc>
        <w:tc>
          <w:tcPr>
            <w:tcW w:w="1672" w:type="dxa"/>
            <w:noWrap/>
            <w:vAlign w:val="center"/>
          </w:tcPr>
          <w:p w14:paraId="6CD08D8F" w14:textId="2E49F80C" w:rsidR="0036786B" w:rsidRPr="00D93244" w:rsidRDefault="0036786B" w:rsidP="0036786B">
            <w:pPr>
              <w:pStyle w:val="Sinespaciad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ascii="Calibri" w:hAnsi="Calibri" w:cs="Calibri"/>
                <w:sz w:val="20"/>
                <w:szCs w:val="20"/>
              </w:rPr>
              <w:t>100,0%</w:t>
            </w:r>
          </w:p>
        </w:tc>
      </w:tr>
      <w:tr w:rsidR="0036786B" w:rsidRPr="00944E5B" w14:paraId="45E41EAD" w14:textId="77777777" w:rsidTr="003B5B0B">
        <w:trPr>
          <w:cnfStyle w:val="000000100000" w:firstRow="0" w:lastRow="0" w:firstColumn="0" w:lastColumn="0" w:oddVBand="0" w:evenVBand="0" w:oddHBand="1"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120" w:type="dxa"/>
            <w:tcBorders>
              <w:top w:val="none" w:sz="0" w:space="0" w:color="auto"/>
              <w:left w:val="none" w:sz="0" w:space="0" w:color="auto"/>
              <w:bottom w:val="none" w:sz="0" w:space="0" w:color="auto"/>
            </w:tcBorders>
            <w:noWrap/>
            <w:vAlign w:val="center"/>
          </w:tcPr>
          <w:p w14:paraId="2C9E020E" w14:textId="77777777" w:rsidR="0036786B" w:rsidRPr="00D93244" w:rsidRDefault="0036786B" w:rsidP="0036786B">
            <w:pPr>
              <w:spacing w:before="0" w:after="0"/>
              <w:jc w:val="center"/>
              <w:rPr>
                <w:rFonts w:ascii="Calibri" w:hAnsi="Calibri" w:cs="Calibri"/>
                <w:b w:val="0"/>
                <w:sz w:val="20"/>
                <w:szCs w:val="20"/>
              </w:rPr>
            </w:pPr>
            <w:r w:rsidRPr="00D93244">
              <w:rPr>
                <w:rFonts w:ascii="Calibri" w:hAnsi="Calibri" w:cs="Calibri"/>
                <w:b w:val="0"/>
                <w:sz w:val="20"/>
                <w:szCs w:val="20"/>
              </w:rPr>
              <w:t>Rapel</w:t>
            </w:r>
          </w:p>
        </w:tc>
        <w:tc>
          <w:tcPr>
            <w:tcW w:w="1535" w:type="dxa"/>
            <w:tcBorders>
              <w:top w:val="none" w:sz="0" w:space="0" w:color="auto"/>
              <w:bottom w:val="none" w:sz="0" w:space="0" w:color="auto"/>
            </w:tcBorders>
            <w:noWrap/>
            <w:vAlign w:val="center"/>
          </w:tcPr>
          <w:p w14:paraId="44C18E48" w14:textId="084D00F9" w:rsidR="0036786B" w:rsidRPr="00D93244" w:rsidRDefault="0036786B" w:rsidP="0036786B">
            <w:pPr>
              <w:pStyle w:val="Sinespaciad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ascii="Calibri" w:hAnsi="Calibri" w:cs="Calibri"/>
                <w:sz w:val="20"/>
                <w:szCs w:val="20"/>
              </w:rPr>
              <w:t>100,0%</w:t>
            </w:r>
          </w:p>
        </w:tc>
        <w:tc>
          <w:tcPr>
            <w:tcW w:w="1672" w:type="dxa"/>
            <w:tcBorders>
              <w:top w:val="none" w:sz="0" w:space="0" w:color="auto"/>
              <w:bottom w:val="none" w:sz="0" w:space="0" w:color="auto"/>
              <w:right w:val="none" w:sz="0" w:space="0" w:color="auto"/>
            </w:tcBorders>
            <w:noWrap/>
            <w:vAlign w:val="center"/>
          </w:tcPr>
          <w:p w14:paraId="507C26AA" w14:textId="16481272" w:rsidR="0036786B" w:rsidRPr="00D93244" w:rsidRDefault="0036786B" w:rsidP="0036786B">
            <w:pPr>
              <w:pStyle w:val="Sinespaciad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ascii="Calibri" w:hAnsi="Calibri" w:cs="Calibri"/>
                <w:sz w:val="20"/>
                <w:szCs w:val="20"/>
              </w:rPr>
              <w:t>0,0%</w:t>
            </w:r>
          </w:p>
        </w:tc>
      </w:tr>
      <w:tr w:rsidR="0036786B" w:rsidRPr="00944E5B" w14:paraId="4E377C37" w14:textId="77777777" w:rsidTr="003B5B0B">
        <w:trPr>
          <w:trHeight w:hRule="exact" w:val="283"/>
          <w:jc w:val="center"/>
        </w:trPr>
        <w:tc>
          <w:tcPr>
            <w:cnfStyle w:val="001000000000" w:firstRow="0" w:lastRow="0" w:firstColumn="1" w:lastColumn="0" w:oddVBand="0" w:evenVBand="0" w:oddHBand="0" w:evenHBand="0" w:firstRowFirstColumn="0" w:firstRowLastColumn="0" w:lastRowFirstColumn="0" w:lastRowLastColumn="0"/>
            <w:tcW w:w="2120" w:type="dxa"/>
            <w:noWrap/>
            <w:vAlign w:val="center"/>
          </w:tcPr>
          <w:p w14:paraId="5B79A14C" w14:textId="77777777" w:rsidR="0036786B" w:rsidRPr="00D93244" w:rsidRDefault="0036786B" w:rsidP="0036786B">
            <w:pPr>
              <w:spacing w:before="0" w:after="0"/>
              <w:jc w:val="center"/>
              <w:rPr>
                <w:rFonts w:ascii="Calibri" w:hAnsi="Calibri" w:cs="Calibri"/>
                <w:b w:val="0"/>
                <w:sz w:val="20"/>
                <w:szCs w:val="20"/>
              </w:rPr>
            </w:pPr>
            <w:r w:rsidRPr="00D93244">
              <w:rPr>
                <w:rFonts w:ascii="Calibri" w:hAnsi="Calibri" w:cs="Calibri"/>
                <w:b w:val="0"/>
                <w:sz w:val="20"/>
                <w:szCs w:val="20"/>
              </w:rPr>
              <w:t>Colbún</w:t>
            </w:r>
          </w:p>
        </w:tc>
        <w:tc>
          <w:tcPr>
            <w:tcW w:w="1535" w:type="dxa"/>
            <w:noWrap/>
            <w:vAlign w:val="center"/>
          </w:tcPr>
          <w:p w14:paraId="642DC144" w14:textId="43CA55F3" w:rsidR="0036786B" w:rsidRPr="00D93244" w:rsidRDefault="0036786B" w:rsidP="0036786B">
            <w:pPr>
              <w:pStyle w:val="Sinespaciad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ascii="Calibri" w:hAnsi="Calibri" w:cs="Calibri"/>
                <w:sz w:val="20"/>
                <w:szCs w:val="20"/>
              </w:rPr>
              <w:t>100,0%</w:t>
            </w:r>
          </w:p>
        </w:tc>
        <w:tc>
          <w:tcPr>
            <w:tcW w:w="1672" w:type="dxa"/>
            <w:noWrap/>
            <w:vAlign w:val="center"/>
          </w:tcPr>
          <w:p w14:paraId="4A5C33AE" w14:textId="053CE7B9" w:rsidR="0036786B" w:rsidRPr="00D93244" w:rsidRDefault="0036786B" w:rsidP="0036786B">
            <w:pPr>
              <w:pStyle w:val="Sinespaciad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ascii="Calibri" w:hAnsi="Calibri" w:cs="Calibri"/>
                <w:sz w:val="20"/>
                <w:szCs w:val="20"/>
              </w:rPr>
              <w:t>0,0%</w:t>
            </w:r>
          </w:p>
        </w:tc>
      </w:tr>
      <w:tr w:rsidR="0036786B" w:rsidRPr="00944E5B" w14:paraId="5DE6FB9B" w14:textId="77777777" w:rsidTr="003B5B0B">
        <w:trPr>
          <w:cnfStyle w:val="000000100000" w:firstRow="0" w:lastRow="0" w:firstColumn="0" w:lastColumn="0" w:oddVBand="0" w:evenVBand="0" w:oddHBand="1"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120" w:type="dxa"/>
            <w:tcBorders>
              <w:top w:val="none" w:sz="0" w:space="0" w:color="auto"/>
              <w:left w:val="none" w:sz="0" w:space="0" w:color="auto"/>
              <w:bottom w:val="none" w:sz="0" w:space="0" w:color="auto"/>
            </w:tcBorders>
            <w:noWrap/>
            <w:vAlign w:val="center"/>
          </w:tcPr>
          <w:p w14:paraId="41A53A4C" w14:textId="77777777" w:rsidR="0036786B" w:rsidRPr="00D93244" w:rsidRDefault="0036786B" w:rsidP="0036786B">
            <w:pPr>
              <w:spacing w:before="0" w:after="0"/>
              <w:jc w:val="center"/>
              <w:rPr>
                <w:rFonts w:ascii="Calibri" w:hAnsi="Calibri" w:cs="Calibri"/>
                <w:b w:val="0"/>
                <w:sz w:val="20"/>
                <w:szCs w:val="20"/>
              </w:rPr>
            </w:pPr>
            <w:r w:rsidRPr="00D93244">
              <w:rPr>
                <w:rFonts w:ascii="Calibri" w:hAnsi="Calibri" w:cs="Calibri"/>
                <w:b w:val="0"/>
                <w:sz w:val="20"/>
                <w:szCs w:val="20"/>
              </w:rPr>
              <w:t>Pehuenche</w:t>
            </w:r>
          </w:p>
        </w:tc>
        <w:tc>
          <w:tcPr>
            <w:tcW w:w="1535" w:type="dxa"/>
            <w:tcBorders>
              <w:top w:val="none" w:sz="0" w:space="0" w:color="auto"/>
              <w:bottom w:val="none" w:sz="0" w:space="0" w:color="auto"/>
            </w:tcBorders>
            <w:noWrap/>
            <w:vAlign w:val="center"/>
          </w:tcPr>
          <w:p w14:paraId="7ABA5A29" w14:textId="4F7F1AA9" w:rsidR="0036786B" w:rsidRPr="00D93244" w:rsidRDefault="0036786B" w:rsidP="0036786B">
            <w:pPr>
              <w:pStyle w:val="Sinespaciad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ascii="Calibri" w:hAnsi="Calibri" w:cs="Calibri"/>
                <w:sz w:val="20"/>
                <w:szCs w:val="20"/>
              </w:rPr>
              <w:t>100,0%</w:t>
            </w:r>
          </w:p>
        </w:tc>
        <w:tc>
          <w:tcPr>
            <w:tcW w:w="1672" w:type="dxa"/>
            <w:tcBorders>
              <w:top w:val="none" w:sz="0" w:space="0" w:color="auto"/>
              <w:bottom w:val="none" w:sz="0" w:space="0" w:color="auto"/>
              <w:right w:val="none" w:sz="0" w:space="0" w:color="auto"/>
            </w:tcBorders>
            <w:noWrap/>
            <w:vAlign w:val="center"/>
          </w:tcPr>
          <w:p w14:paraId="5A21CDF4" w14:textId="67A78A4F" w:rsidR="0036786B" w:rsidRPr="00D93244" w:rsidRDefault="0036786B" w:rsidP="0036786B">
            <w:pPr>
              <w:pStyle w:val="Sinespaciad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ascii="Calibri" w:hAnsi="Calibri" w:cs="Calibri"/>
                <w:sz w:val="20"/>
                <w:szCs w:val="20"/>
              </w:rPr>
              <w:t>100,0%</w:t>
            </w:r>
          </w:p>
        </w:tc>
      </w:tr>
      <w:tr w:rsidR="0036786B" w:rsidRPr="00944E5B" w14:paraId="3A897366" w14:textId="77777777" w:rsidTr="003B5B0B">
        <w:trPr>
          <w:trHeight w:hRule="exact" w:val="283"/>
          <w:jc w:val="center"/>
        </w:trPr>
        <w:tc>
          <w:tcPr>
            <w:cnfStyle w:val="001000000000" w:firstRow="0" w:lastRow="0" w:firstColumn="1" w:lastColumn="0" w:oddVBand="0" w:evenVBand="0" w:oddHBand="0" w:evenHBand="0" w:firstRowFirstColumn="0" w:firstRowLastColumn="0" w:lastRowFirstColumn="0" w:lastRowLastColumn="0"/>
            <w:tcW w:w="2120" w:type="dxa"/>
            <w:noWrap/>
            <w:vAlign w:val="center"/>
          </w:tcPr>
          <w:p w14:paraId="014F4DB7" w14:textId="77777777" w:rsidR="0036786B" w:rsidRPr="00D93244" w:rsidRDefault="0036786B" w:rsidP="0036786B">
            <w:pPr>
              <w:spacing w:before="0" w:after="0"/>
              <w:jc w:val="center"/>
              <w:rPr>
                <w:rFonts w:ascii="Calibri" w:hAnsi="Calibri" w:cs="Calibri"/>
                <w:b w:val="0"/>
                <w:sz w:val="20"/>
                <w:szCs w:val="20"/>
              </w:rPr>
            </w:pPr>
            <w:r w:rsidRPr="00D93244">
              <w:rPr>
                <w:rFonts w:ascii="Calibri" w:hAnsi="Calibri" w:cs="Calibri"/>
                <w:b w:val="0"/>
                <w:sz w:val="20"/>
                <w:szCs w:val="20"/>
              </w:rPr>
              <w:t>Teno</w:t>
            </w:r>
          </w:p>
        </w:tc>
        <w:tc>
          <w:tcPr>
            <w:tcW w:w="1535" w:type="dxa"/>
            <w:noWrap/>
            <w:vAlign w:val="center"/>
          </w:tcPr>
          <w:p w14:paraId="5A65283E" w14:textId="48A29DD9" w:rsidR="0036786B" w:rsidRPr="00D93244" w:rsidRDefault="0036786B" w:rsidP="0036786B">
            <w:pPr>
              <w:pStyle w:val="Sinespaciad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ascii="Calibri" w:hAnsi="Calibri" w:cs="Calibri"/>
                <w:sz w:val="20"/>
                <w:szCs w:val="20"/>
              </w:rPr>
              <w:t>100,0%</w:t>
            </w:r>
          </w:p>
        </w:tc>
        <w:tc>
          <w:tcPr>
            <w:tcW w:w="1672" w:type="dxa"/>
            <w:noWrap/>
            <w:vAlign w:val="center"/>
          </w:tcPr>
          <w:p w14:paraId="75C5A64B" w14:textId="2B2A55D1" w:rsidR="0036786B" w:rsidRPr="00D93244" w:rsidRDefault="0036786B" w:rsidP="0036786B">
            <w:pPr>
              <w:pStyle w:val="Sinespaciad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ascii="Calibri" w:hAnsi="Calibri" w:cs="Calibri"/>
                <w:sz w:val="20"/>
                <w:szCs w:val="20"/>
              </w:rPr>
              <w:t>0,0%</w:t>
            </w:r>
          </w:p>
        </w:tc>
      </w:tr>
      <w:tr w:rsidR="0036786B" w:rsidRPr="00944E5B" w14:paraId="6884FF8A" w14:textId="77777777" w:rsidTr="003B5B0B">
        <w:trPr>
          <w:cnfStyle w:val="000000100000" w:firstRow="0" w:lastRow="0" w:firstColumn="0" w:lastColumn="0" w:oddVBand="0" w:evenVBand="0" w:oddHBand="1"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120" w:type="dxa"/>
            <w:tcBorders>
              <w:top w:val="none" w:sz="0" w:space="0" w:color="auto"/>
              <w:left w:val="none" w:sz="0" w:space="0" w:color="auto"/>
              <w:bottom w:val="none" w:sz="0" w:space="0" w:color="auto"/>
            </w:tcBorders>
            <w:noWrap/>
            <w:vAlign w:val="center"/>
          </w:tcPr>
          <w:p w14:paraId="461CD61D" w14:textId="77777777" w:rsidR="0036786B" w:rsidRPr="00D93244" w:rsidRDefault="0036786B" w:rsidP="0036786B">
            <w:pPr>
              <w:spacing w:before="0" w:after="0"/>
              <w:jc w:val="center"/>
              <w:rPr>
                <w:rFonts w:ascii="Calibri" w:hAnsi="Calibri" w:cs="Calibri"/>
                <w:b w:val="0"/>
                <w:sz w:val="20"/>
                <w:szCs w:val="20"/>
              </w:rPr>
            </w:pPr>
            <w:r w:rsidRPr="00D93244">
              <w:rPr>
                <w:rFonts w:ascii="Calibri" w:hAnsi="Calibri" w:cs="Calibri"/>
                <w:b w:val="0"/>
                <w:sz w:val="20"/>
                <w:szCs w:val="20"/>
              </w:rPr>
              <w:t>El Toro</w:t>
            </w:r>
          </w:p>
        </w:tc>
        <w:tc>
          <w:tcPr>
            <w:tcW w:w="1535" w:type="dxa"/>
            <w:tcBorders>
              <w:top w:val="none" w:sz="0" w:space="0" w:color="auto"/>
              <w:bottom w:val="none" w:sz="0" w:space="0" w:color="auto"/>
            </w:tcBorders>
            <w:noWrap/>
            <w:vAlign w:val="center"/>
          </w:tcPr>
          <w:p w14:paraId="5B4EEA01" w14:textId="71B5A5ED" w:rsidR="0036786B" w:rsidRPr="00D93244" w:rsidRDefault="0036786B" w:rsidP="0036786B">
            <w:pPr>
              <w:pStyle w:val="Sinespaciad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ascii="Calibri" w:hAnsi="Calibri" w:cs="Calibri"/>
                <w:sz w:val="20"/>
                <w:szCs w:val="20"/>
              </w:rPr>
              <w:t>100,0%</w:t>
            </w:r>
          </w:p>
        </w:tc>
        <w:tc>
          <w:tcPr>
            <w:tcW w:w="1672" w:type="dxa"/>
            <w:tcBorders>
              <w:top w:val="none" w:sz="0" w:space="0" w:color="auto"/>
              <w:bottom w:val="none" w:sz="0" w:space="0" w:color="auto"/>
              <w:right w:val="none" w:sz="0" w:space="0" w:color="auto"/>
            </w:tcBorders>
            <w:noWrap/>
            <w:vAlign w:val="center"/>
          </w:tcPr>
          <w:p w14:paraId="7D740F89" w14:textId="177619CF" w:rsidR="0036786B" w:rsidRPr="00D93244" w:rsidRDefault="0036786B" w:rsidP="0036786B">
            <w:pPr>
              <w:pStyle w:val="Sinespaciad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ascii="Calibri" w:hAnsi="Calibri" w:cs="Calibri"/>
                <w:sz w:val="20"/>
                <w:szCs w:val="20"/>
              </w:rPr>
              <w:t>0,0%</w:t>
            </w:r>
          </w:p>
        </w:tc>
      </w:tr>
      <w:tr w:rsidR="0036786B" w:rsidRPr="00944E5B" w14:paraId="3DD2B491" w14:textId="77777777" w:rsidTr="003B5B0B">
        <w:trPr>
          <w:trHeight w:hRule="exact" w:val="283"/>
          <w:jc w:val="center"/>
        </w:trPr>
        <w:tc>
          <w:tcPr>
            <w:cnfStyle w:val="001000000000" w:firstRow="0" w:lastRow="0" w:firstColumn="1" w:lastColumn="0" w:oddVBand="0" w:evenVBand="0" w:oddHBand="0" w:evenHBand="0" w:firstRowFirstColumn="0" w:firstRowLastColumn="0" w:lastRowFirstColumn="0" w:lastRowLastColumn="0"/>
            <w:tcW w:w="2120" w:type="dxa"/>
            <w:noWrap/>
            <w:vAlign w:val="center"/>
          </w:tcPr>
          <w:p w14:paraId="514C4C3D" w14:textId="77777777" w:rsidR="0036786B" w:rsidRPr="00D93244" w:rsidRDefault="0036786B" w:rsidP="0036786B">
            <w:pPr>
              <w:spacing w:before="0" w:after="0"/>
              <w:jc w:val="center"/>
              <w:rPr>
                <w:rFonts w:ascii="Calibri" w:hAnsi="Calibri" w:cs="Calibri"/>
                <w:b w:val="0"/>
                <w:sz w:val="20"/>
                <w:szCs w:val="20"/>
              </w:rPr>
            </w:pPr>
            <w:r w:rsidRPr="00D93244">
              <w:rPr>
                <w:rFonts w:ascii="Calibri" w:hAnsi="Calibri" w:cs="Calibri"/>
                <w:b w:val="0"/>
                <w:sz w:val="20"/>
                <w:szCs w:val="20"/>
              </w:rPr>
              <w:t>Ralco</w:t>
            </w:r>
          </w:p>
        </w:tc>
        <w:tc>
          <w:tcPr>
            <w:tcW w:w="1535" w:type="dxa"/>
            <w:noWrap/>
            <w:vAlign w:val="center"/>
          </w:tcPr>
          <w:p w14:paraId="7715AAB5" w14:textId="2B166FDC" w:rsidR="0036786B" w:rsidRPr="00D93244" w:rsidRDefault="0036786B" w:rsidP="0036786B">
            <w:pPr>
              <w:pStyle w:val="Sinespaciad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ascii="Calibri" w:hAnsi="Calibri" w:cs="Calibri"/>
                <w:sz w:val="20"/>
                <w:szCs w:val="20"/>
              </w:rPr>
              <w:t>100,0%</w:t>
            </w:r>
          </w:p>
        </w:tc>
        <w:tc>
          <w:tcPr>
            <w:tcW w:w="1672" w:type="dxa"/>
            <w:noWrap/>
            <w:vAlign w:val="center"/>
          </w:tcPr>
          <w:p w14:paraId="1542C6D6" w14:textId="3EBA4727" w:rsidR="0036786B" w:rsidRPr="00D93244" w:rsidRDefault="0036786B" w:rsidP="0036786B">
            <w:pPr>
              <w:pStyle w:val="Sinespaciad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ascii="Calibri" w:hAnsi="Calibri" w:cs="Calibri"/>
                <w:sz w:val="20"/>
                <w:szCs w:val="20"/>
              </w:rPr>
              <w:t>0,0%</w:t>
            </w:r>
          </w:p>
        </w:tc>
      </w:tr>
      <w:tr w:rsidR="0036786B" w:rsidRPr="00944E5B" w14:paraId="19C34C36" w14:textId="77777777" w:rsidTr="003B5B0B">
        <w:trPr>
          <w:cnfStyle w:val="000000100000" w:firstRow="0" w:lastRow="0" w:firstColumn="0" w:lastColumn="0" w:oddVBand="0" w:evenVBand="0" w:oddHBand="1"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120" w:type="dxa"/>
            <w:tcBorders>
              <w:top w:val="none" w:sz="0" w:space="0" w:color="auto"/>
              <w:left w:val="none" w:sz="0" w:space="0" w:color="auto"/>
              <w:bottom w:val="none" w:sz="0" w:space="0" w:color="auto"/>
            </w:tcBorders>
            <w:noWrap/>
            <w:vAlign w:val="center"/>
          </w:tcPr>
          <w:p w14:paraId="5765FAB0" w14:textId="77777777" w:rsidR="0036786B" w:rsidRPr="00D93244" w:rsidRDefault="0036786B" w:rsidP="0036786B">
            <w:pPr>
              <w:spacing w:before="0" w:after="0"/>
              <w:jc w:val="center"/>
              <w:rPr>
                <w:rFonts w:ascii="Calibri" w:hAnsi="Calibri" w:cs="Calibri"/>
                <w:b w:val="0"/>
                <w:sz w:val="20"/>
                <w:szCs w:val="20"/>
              </w:rPr>
            </w:pPr>
            <w:r w:rsidRPr="00D93244">
              <w:rPr>
                <w:rFonts w:ascii="Calibri" w:hAnsi="Calibri" w:cs="Calibri"/>
                <w:b w:val="0"/>
                <w:sz w:val="20"/>
                <w:szCs w:val="20"/>
              </w:rPr>
              <w:t>Coronel</w:t>
            </w:r>
          </w:p>
        </w:tc>
        <w:tc>
          <w:tcPr>
            <w:tcW w:w="1535" w:type="dxa"/>
            <w:tcBorders>
              <w:top w:val="none" w:sz="0" w:space="0" w:color="auto"/>
              <w:bottom w:val="none" w:sz="0" w:space="0" w:color="auto"/>
            </w:tcBorders>
            <w:noWrap/>
            <w:vAlign w:val="center"/>
          </w:tcPr>
          <w:p w14:paraId="7E4F0DDF" w14:textId="7DC9B9FB" w:rsidR="0036786B" w:rsidRPr="00D93244" w:rsidRDefault="0036786B" w:rsidP="0036786B">
            <w:pPr>
              <w:pStyle w:val="Sinespaciad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ascii="Calibri" w:hAnsi="Calibri" w:cs="Calibri"/>
                <w:sz w:val="20"/>
                <w:szCs w:val="20"/>
              </w:rPr>
              <w:t>100,0%</w:t>
            </w:r>
          </w:p>
        </w:tc>
        <w:tc>
          <w:tcPr>
            <w:tcW w:w="1672" w:type="dxa"/>
            <w:tcBorders>
              <w:top w:val="none" w:sz="0" w:space="0" w:color="auto"/>
              <w:bottom w:val="none" w:sz="0" w:space="0" w:color="auto"/>
              <w:right w:val="none" w:sz="0" w:space="0" w:color="auto"/>
            </w:tcBorders>
            <w:noWrap/>
            <w:vAlign w:val="center"/>
          </w:tcPr>
          <w:p w14:paraId="39D41F58" w14:textId="75DC93D0" w:rsidR="0036786B" w:rsidRPr="00D93244" w:rsidRDefault="0036786B" w:rsidP="0036786B">
            <w:pPr>
              <w:pStyle w:val="Sinespaciad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ascii="Calibri" w:hAnsi="Calibri" w:cs="Calibri"/>
                <w:sz w:val="20"/>
                <w:szCs w:val="20"/>
              </w:rPr>
              <w:t>0,0%</w:t>
            </w:r>
          </w:p>
        </w:tc>
      </w:tr>
      <w:tr w:rsidR="0036786B" w:rsidRPr="00944E5B" w14:paraId="7109719C" w14:textId="77777777" w:rsidTr="003B5B0B">
        <w:trPr>
          <w:trHeight w:hRule="exact" w:val="283"/>
          <w:jc w:val="center"/>
        </w:trPr>
        <w:tc>
          <w:tcPr>
            <w:cnfStyle w:val="001000000000" w:firstRow="0" w:lastRow="0" w:firstColumn="1" w:lastColumn="0" w:oddVBand="0" w:evenVBand="0" w:oddHBand="0" w:evenHBand="0" w:firstRowFirstColumn="0" w:firstRowLastColumn="0" w:lastRowFirstColumn="0" w:lastRowLastColumn="0"/>
            <w:tcW w:w="2120" w:type="dxa"/>
            <w:noWrap/>
            <w:vAlign w:val="center"/>
          </w:tcPr>
          <w:p w14:paraId="744F73E7" w14:textId="77777777" w:rsidR="0036786B" w:rsidRPr="00D93244" w:rsidRDefault="0036786B" w:rsidP="0036786B">
            <w:pPr>
              <w:spacing w:before="0" w:after="0"/>
              <w:jc w:val="center"/>
              <w:rPr>
                <w:rFonts w:ascii="Calibri" w:hAnsi="Calibri" w:cs="Calibri"/>
                <w:b w:val="0"/>
                <w:sz w:val="20"/>
                <w:szCs w:val="20"/>
              </w:rPr>
            </w:pPr>
            <w:r w:rsidRPr="00D93244">
              <w:rPr>
                <w:rFonts w:ascii="Calibri" w:hAnsi="Calibri" w:cs="Calibri"/>
                <w:b w:val="0"/>
                <w:sz w:val="20"/>
                <w:szCs w:val="20"/>
              </w:rPr>
              <w:t>Pullinque</w:t>
            </w:r>
          </w:p>
        </w:tc>
        <w:tc>
          <w:tcPr>
            <w:tcW w:w="1535" w:type="dxa"/>
            <w:noWrap/>
            <w:vAlign w:val="center"/>
          </w:tcPr>
          <w:p w14:paraId="271E5F47" w14:textId="39144282" w:rsidR="0036786B" w:rsidRPr="00D93244" w:rsidRDefault="0036786B" w:rsidP="0036786B">
            <w:pPr>
              <w:pStyle w:val="Sinespaciad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ascii="Calibri" w:hAnsi="Calibri" w:cs="Calibri"/>
                <w:sz w:val="20"/>
                <w:szCs w:val="20"/>
              </w:rPr>
              <w:t>100,0%</w:t>
            </w:r>
          </w:p>
        </w:tc>
        <w:tc>
          <w:tcPr>
            <w:tcW w:w="1672" w:type="dxa"/>
            <w:noWrap/>
            <w:vAlign w:val="center"/>
          </w:tcPr>
          <w:p w14:paraId="5339F218" w14:textId="14492940" w:rsidR="0036786B" w:rsidRPr="00D93244" w:rsidRDefault="0036786B" w:rsidP="0036786B">
            <w:pPr>
              <w:pStyle w:val="Sinespaciad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ascii="Calibri" w:hAnsi="Calibri" w:cs="Calibri"/>
                <w:sz w:val="20"/>
                <w:szCs w:val="20"/>
              </w:rPr>
              <w:t>0,0%</w:t>
            </w:r>
          </w:p>
        </w:tc>
      </w:tr>
      <w:tr w:rsidR="0036786B" w:rsidRPr="00944E5B" w14:paraId="23693906" w14:textId="77777777" w:rsidTr="003B5B0B">
        <w:trPr>
          <w:cnfStyle w:val="000000100000" w:firstRow="0" w:lastRow="0" w:firstColumn="0" w:lastColumn="0" w:oddVBand="0" w:evenVBand="0" w:oddHBand="1"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120" w:type="dxa"/>
            <w:tcBorders>
              <w:top w:val="none" w:sz="0" w:space="0" w:color="auto"/>
              <w:left w:val="none" w:sz="0" w:space="0" w:color="auto"/>
              <w:bottom w:val="none" w:sz="0" w:space="0" w:color="auto"/>
            </w:tcBorders>
            <w:noWrap/>
            <w:vAlign w:val="center"/>
          </w:tcPr>
          <w:p w14:paraId="12586749" w14:textId="77777777" w:rsidR="0036786B" w:rsidRPr="00D93244" w:rsidRDefault="0036786B" w:rsidP="0036786B">
            <w:pPr>
              <w:spacing w:before="0" w:after="0"/>
              <w:jc w:val="center"/>
              <w:rPr>
                <w:rFonts w:ascii="Calibri" w:hAnsi="Calibri" w:cs="Calibri"/>
                <w:b w:val="0"/>
                <w:sz w:val="20"/>
                <w:szCs w:val="20"/>
              </w:rPr>
            </w:pPr>
            <w:r w:rsidRPr="00D93244">
              <w:rPr>
                <w:rFonts w:ascii="Calibri" w:hAnsi="Calibri" w:cs="Calibri"/>
                <w:b w:val="0"/>
                <w:sz w:val="20"/>
                <w:szCs w:val="20"/>
              </w:rPr>
              <w:t>Pilmaiquén</w:t>
            </w:r>
          </w:p>
        </w:tc>
        <w:tc>
          <w:tcPr>
            <w:tcW w:w="1535" w:type="dxa"/>
            <w:tcBorders>
              <w:top w:val="none" w:sz="0" w:space="0" w:color="auto"/>
              <w:bottom w:val="none" w:sz="0" w:space="0" w:color="auto"/>
            </w:tcBorders>
            <w:noWrap/>
            <w:vAlign w:val="center"/>
          </w:tcPr>
          <w:p w14:paraId="647F0780" w14:textId="42B85742" w:rsidR="0036786B" w:rsidRPr="00D93244" w:rsidRDefault="0036786B" w:rsidP="0036786B">
            <w:pPr>
              <w:pStyle w:val="Sinespaciad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ascii="Calibri" w:hAnsi="Calibri" w:cs="Calibri"/>
                <w:sz w:val="20"/>
                <w:szCs w:val="20"/>
              </w:rPr>
              <w:t>100,0%</w:t>
            </w:r>
          </w:p>
        </w:tc>
        <w:tc>
          <w:tcPr>
            <w:tcW w:w="1672" w:type="dxa"/>
            <w:tcBorders>
              <w:top w:val="none" w:sz="0" w:space="0" w:color="auto"/>
              <w:bottom w:val="none" w:sz="0" w:space="0" w:color="auto"/>
              <w:right w:val="none" w:sz="0" w:space="0" w:color="auto"/>
            </w:tcBorders>
            <w:noWrap/>
            <w:vAlign w:val="center"/>
          </w:tcPr>
          <w:p w14:paraId="784FAB3D" w14:textId="4C8E7ABA" w:rsidR="0036786B" w:rsidRPr="00D93244" w:rsidRDefault="0036786B" w:rsidP="0036786B">
            <w:pPr>
              <w:pStyle w:val="Sinespaciad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ascii="Calibri" w:hAnsi="Calibri" w:cs="Calibri"/>
                <w:sz w:val="20"/>
                <w:szCs w:val="20"/>
              </w:rPr>
              <w:t>0,0%</w:t>
            </w:r>
          </w:p>
        </w:tc>
      </w:tr>
      <w:tr w:rsidR="0036786B" w:rsidRPr="00944E5B" w14:paraId="2616EFFB" w14:textId="77777777" w:rsidTr="003B5B0B">
        <w:trPr>
          <w:trHeight w:hRule="exact" w:val="283"/>
          <w:jc w:val="center"/>
        </w:trPr>
        <w:tc>
          <w:tcPr>
            <w:cnfStyle w:val="001000000000" w:firstRow="0" w:lastRow="0" w:firstColumn="1" w:lastColumn="0" w:oddVBand="0" w:evenVBand="0" w:oddHBand="0" w:evenHBand="0" w:firstRowFirstColumn="0" w:firstRowLastColumn="0" w:lastRowFirstColumn="0" w:lastRowLastColumn="0"/>
            <w:tcW w:w="2120" w:type="dxa"/>
            <w:noWrap/>
            <w:vAlign w:val="center"/>
          </w:tcPr>
          <w:p w14:paraId="16BD6A62" w14:textId="77777777" w:rsidR="0036786B" w:rsidRPr="00D93244" w:rsidRDefault="0036786B" w:rsidP="0036786B">
            <w:pPr>
              <w:spacing w:before="0" w:after="0"/>
              <w:jc w:val="center"/>
              <w:rPr>
                <w:rFonts w:ascii="Calibri" w:hAnsi="Calibri" w:cs="Calibri"/>
                <w:b w:val="0"/>
                <w:sz w:val="20"/>
                <w:szCs w:val="20"/>
              </w:rPr>
            </w:pPr>
            <w:r w:rsidRPr="00D93244">
              <w:rPr>
                <w:rFonts w:ascii="Calibri" w:hAnsi="Calibri" w:cs="Calibri"/>
                <w:b w:val="0"/>
                <w:sz w:val="20"/>
                <w:szCs w:val="20"/>
              </w:rPr>
              <w:t>Canutillar</w:t>
            </w:r>
          </w:p>
        </w:tc>
        <w:tc>
          <w:tcPr>
            <w:tcW w:w="1535" w:type="dxa"/>
            <w:noWrap/>
            <w:vAlign w:val="center"/>
          </w:tcPr>
          <w:p w14:paraId="7BA6E4D9" w14:textId="35D602B6" w:rsidR="0036786B" w:rsidRPr="00D93244" w:rsidRDefault="0036786B" w:rsidP="0036786B">
            <w:pPr>
              <w:pStyle w:val="Sinespaciad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ascii="Calibri" w:hAnsi="Calibri" w:cs="Calibri"/>
                <w:sz w:val="20"/>
                <w:szCs w:val="20"/>
              </w:rPr>
              <w:t>100,0%</w:t>
            </w:r>
          </w:p>
        </w:tc>
        <w:tc>
          <w:tcPr>
            <w:tcW w:w="1672" w:type="dxa"/>
            <w:noWrap/>
            <w:vAlign w:val="center"/>
          </w:tcPr>
          <w:p w14:paraId="4CA66253" w14:textId="59360B52" w:rsidR="0036786B" w:rsidRPr="00D93244" w:rsidRDefault="0036786B" w:rsidP="0036786B">
            <w:pPr>
              <w:pStyle w:val="Sinespaciad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ascii="Calibri" w:hAnsi="Calibri" w:cs="Calibri"/>
                <w:sz w:val="20"/>
                <w:szCs w:val="20"/>
              </w:rPr>
              <w:t>100,0%</w:t>
            </w:r>
          </w:p>
        </w:tc>
      </w:tr>
    </w:tbl>
    <w:p w14:paraId="59014440" w14:textId="77777777" w:rsidR="00D068A5" w:rsidRDefault="00D068A5" w:rsidP="00F76D4B">
      <w:pPr>
        <w:rPr>
          <w:color w:val="007DB1" w:themeColor="background1"/>
        </w:rPr>
      </w:pPr>
    </w:p>
    <w:p w14:paraId="20A443D0" w14:textId="5435189F" w:rsidR="00FC2DE4" w:rsidRPr="00D93244" w:rsidRDefault="00FC2DE4" w:rsidP="00FC2DE4">
      <w:pPr>
        <w:pStyle w:val="Descripcin"/>
        <w:keepNext/>
      </w:pPr>
      <w:bookmarkStart w:id="42" w:name="_Ref2852184"/>
      <w:r w:rsidRPr="00F95211">
        <w:t xml:space="preserve">Tabla </w:t>
      </w:r>
      <w:r w:rsidR="00944E5B" w:rsidRPr="00F95211">
        <w:rPr>
          <w:noProof/>
        </w:rPr>
        <w:fldChar w:fldCharType="begin"/>
      </w:r>
      <w:r w:rsidR="00944E5B" w:rsidRPr="00F95211">
        <w:rPr>
          <w:noProof/>
        </w:rPr>
        <w:instrText xml:space="preserve"> SEQ Tabla \* ARABIC </w:instrText>
      </w:r>
      <w:r w:rsidR="00944E5B" w:rsidRPr="00F95211">
        <w:rPr>
          <w:noProof/>
        </w:rPr>
        <w:fldChar w:fldCharType="separate"/>
      </w:r>
      <w:r w:rsidR="00B62914" w:rsidRPr="00F95211">
        <w:rPr>
          <w:noProof/>
        </w:rPr>
        <w:t>3</w:t>
      </w:r>
      <w:r w:rsidR="00944E5B" w:rsidRPr="00F95211">
        <w:rPr>
          <w:noProof/>
        </w:rPr>
        <w:fldChar w:fldCharType="end"/>
      </w:r>
      <w:bookmarkEnd w:id="42"/>
      <w:r w:rsidRPr="00F95211">
        <w:t>: Pruebas de funcionamiento SCADA.</w:t>
      </w:r>
    </w:p>
    <w:tbl>
      <w:tblPr>
        <w:tblStyle w:val="Listaclara-nfasis2"/>
        <w:tblW w:w="5327" w:type="dxa"/>
        <w:jc w:val="center"/>
        <w:tblLook w:val="04A0" w:firstRow="1" w:lastRow="0" w:firstColumn="1" w:lastColumn="0" w:noHBand="0" w:noVBand="1"/>
      </w:tblPr>
      <w:tblGrid>
        <w:gridCol w:w="2120"/>
        <w:gridCol w:w="1535"/>
        <w:gridCol w:w="1672"/>
      </w:tblGrid>
      <w:tr w:rsidR="00944E5B" w:rsidRPr="00944E5B" w14:paraId="24896030" w14:textId="77777777" w:rsidTr="003B5B0B">
        <w:trPr>
          <w:cnfStyle w:val="100000000000" w:firstRow="1" w:lastRow="0" w:firstColumn="0" w:lastColumn="0" w:oddVBand="0" w:evenVBand="0" w:oddHBand="0" w:evenHBand="0" w:firstRowFirstColumn="0" w:firstRowLastColumn="0" w:lastRowFirstColumn="0" w:lastRowLastColumn="0"/>
          <w:trHeight w:val="494"/>
          <w:jc w:val="center"/>
        </w:trPr>
        <w:tc>
          <w:tcPr>
            <w:cnfStyle w:val="001000000000" w:firstRow="0" w:lastRow="0" w:firstColumn="1" w:lastColumn="0" w:oddVBand="0" w:evenVBand="0" w:oddHBand="0" w:evenHBand="0" w:firstRowFirstColumn="0" w:firstRowLastColumn="0" w:lastRowFirstColumn="0" w:lastRowLastColumn="0"/>
            <w:tcW w:w="2120" w:type="dxa"/>
            <w:vMerge w:val="restart"/>
            <w:shd w:val="clear" w:color="auto" w:fill="00AEC5" w:themeFill="accent1"/>
            <w:noWrap/>
            <w:vAlign w:val="center"/>
            <w:hideMark/>
          </w:tcPr>
          <w:p w14:paraId="58CA4001" w14:textId="77777777" w:rsidR="00FC2DE4" w:rsidRPr="00D93244" w:rsidRDefault="00FC2DE4" w:rsidP="00FC2DE4">
            <w:pPr>
              <w:pStyle w:val="Sinespaciado"/>
              <w:jc w:val="center"/>
              <w:rPr>
                <w:rFonts w:eastAsia="Times New Roman"/>
                <w:color w:val="FFFFFF"/>
              </w:rPr>
            </w:pPr>
            <w:r w:rsidRPr="00D93244">
              <w:rPr>
                <w:rFonts w:eastAsia="Times New Roman"/>
                <w:color w:val="FFFFFF"/>
              </w:rPr>
              <w:t>Coordinado</w:t>
            </w:r>
          </w:p>
        </w:tc>
        <w:tc>
          <w:tcPr>
            <w:tcW w:w="3207" w:type="dxa"/>
            <w:gridSpan w:val="2"/>
            <w:shd w:val="clear" w:color="auto" w:fill="00AEC5" w:themeFill="accent1"/>
            <w:noWrap/>
            <w:vAlign w:val="center"/>
          </w:tcPr>
          <w:p w14:paraId="62063E1A" w14:textId="77777777" w:rsidR="00FC2DE4" w:rsidRPr="00D93244" w:rsidRDefault="00FC2DE4" w:rsidP="00FC2DE4">
            <w:pPr>
              <w:pStyle w:val="Sinespaciado"/>
              <w:jc w:val="center"/>
              <w:cnfStyle w:val="100000000000" w:firstRow="1" w:lastRow="0" w:firstColumn="0" w:lastColumn="0" w:oddVBand="0" w:evenVBand="0" w:oddHBand="0" w:evenHBand="0" w:firstRowFirstColumn="0" w:firstRowLastColumn="0" w:lastRowFirstColumn="0" w:lastRowLastColumn="0"/>
              <w:rPr>
                <w:rFonts w:eastAsia="Times New Roman"/>
                <w:color w:val="FFFFFF"/>
              </w:rPr>
            </w:pPr>
            <w:r w:rsidRPr="00D93244">
              <w:rPr>
                <w:rFonts w:eastAsia="Times New Roman"/>
                <w:color w:val="FFFFFF"/>
              </w:rPr>
              <w:t>Porcentaje de Implementación</w:t>
            </w:r>
          </w:p>
        </w:tc>
      </w:tr>
      <w:tr w:rsidR="00944E5B" w:rsidRPr="00944E5B" w14:paraId="207443C4" w14:textId="77777777" w:rsidTr="00644F31">
        <w:trPr>
          <w:cnfStyle w:val="000000100000" w:firstRow="0" w:lastRow="0" w:firstColumn="0" w:lastColumn="0" w:oddVBand="0" w:evenVBand="0" w:oddHBand="1" w:evenHBand="0"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2120" w:type="dxa"/>
            <w:vMerge/>
            <w:shd w:val="clear" w:color="auto" w:fill="00AEC5" w:themeFill="accent1"/>
            <w:noWrap/>
            <w:vAlign w:val="center"/>
          </w:tcPr>
          <w:p w14:paraId="453BC4C3" w14:textId="77777777" w:rsidR="00FC2DE4" w:rsidRPr="00D93244" w:rsidRDefault="00FC2DE4" w:rsidP="00FC2DE4">
            <w:pPr>
              <w:pStyle w:val="Sinespaciado"/>
              <w:rPr>
                <w:rFonts w:eastAsia="Times New Roman"/>
                <w:color w:val="FFFFFF"/>
              </w:rPr>
            </w:pPr>
          </w:p>
        </w:tc>
        <w:tc>
          <w:tcPr>
            <w:tcW w:w="1535" w:type="dxa"/>
            <w:shd w:val="clear" w:color="auto" w:fill="00AEC5" w:themeFill="accent1"/>
            <w:noWrap/>
            <w:vAlign w:val="center"/>
          </w:tcPr>
          <w:p w14:paraId="20F856F1" w14:textId="77777777" w:rsidR="00FC2DE4" w:rsidRPr="00D93244" w:rsidRDefault="00FC2DE4" w:rsidP="00FC2DE4">
            <w:pPr>
              <w:pStyle w:val="Sinespaciado"/>
              <w:jc w:val="center"/>
              <w:cnfStyle w:val="000000100000" w:firstRow="0" w:lastRow="0" w:firstColumn="0" w:lastColumn="0" w:oddVBand="0" w:evenVBand="0" w:oddHBand="1" w:evenHBand="0" w:firstRowFirstColumn="0" w:firstRowLastColumn="0" w:lastRowFirstColumn="0" w:lastRowLastColumn="0"/>
              <w:rPr>
                <w:rFonts w:eastAsia="Times New Roman"/>
                <w:b/>
                <w:color w:val="FFFFFF"/>
              </w:rPr>
            </w:pPr>
            <w:r w:rsidRPr="00D93244">
              <w:rPr>
                <w:rFonts w:eastAsia="Times New Roman"/>
                <w:b/>
                <w:color w:val="FFFFFF"/>
              </w:rPr>
              <w:t>Programado</w:t>
            </w:r>
          </w:p>
        </w:tc>
        <w:tc>
          <w:tcPr>
            <w:tcW w:w="1672" w:type="dxa"/>
            <w:shd w:val="clear" w:color="auto" w:fill="00AEC5" w:themeFill="accent1"/>
            <w:noWrap/>
            <w:vAlign w:val="center"/>
          </w:tcPr>
          <w:p w14:paraId="722C16D1" w14:textId="77777777" w:rsidR="00FC2DE4" w:rsidRPr="00D93244" w:rsidRDefault="00FC2DE4" w:rsidP="00FC2DE4">
            <w:pPr>
              <w:pStyle w:val="Sinespaciado"/>
              <w:jc w:val="center"/>
              <w:cnfStyle w:val="000000100000" w:firstRow="0" w:lastRow="0" w:firstColumn="0" w:lastColumn="0" w:oddVBand="0" w:evenVBand="0" w:oddHBand="1" w:evenHBand="0" w:firstRowFirstColumn="0" w:firstRowLastColumn="0" w:lastRowFirstColumn="0" w:lastRowLastColumn="0"/>
              <w:rPr>
                <w:rFonts w:eastAsia="Times New Roman"/>
                <w:b/>
                <w:color w:val="FFFFFF"/>
              </w:rPr>
            </w:pPr>
            <w:r w:rsidRPr="00D93244">
              <w:rPr>
                <w:rFonts w:eastAsia="Times New Roman"/>
                <w:b/>
                <w:color w:val="FFFFFF"/>
              </w:rPr>
              <w:t>Real</w:t>
            </w:r>
          </w:p>
        </w:tc>
      </w:tr>
      <w:tr w:rsidR="00F95211" w:rsidRPr="00944E5B" w14:paraId="5914D129" w14:textId="77777777" w:rsidTr="00D0549B">
        <w:trPr>
          <w:trHeight w:hRule="exact" w:val="283"/>
          <w:jc w:val="center"/>
        </w:trPr>
        <w:tc>
          <w:tcPr>
            <w:cnfStyle w:val="001000000000" w:firstRow="0" w:lastRow="0" w:firstColumn="1" w:lastColumn="0" w:oddVBand="0" w:evenVBand="0" w:oddHBand="0" w:evenHBand="0" w:firstRowFirstColumn="0" w:firstRowLastColumn="0" w:lastRowFirstColumn="0" w:lastRowLastColumn="0"/>
            <w:tcW w:w="2120" w:type="dxa"/>
            <w:tcBorders>
              <w:top w:val="single" w:sz="8" w:space="0" w:color="2CAFA4" w:themeColor="accent2"/>
              <w:bottom w:val="single" w:sz="8" w:space="0" w:color="2CAFA4" w:themeColor="accent2"/>
              <w:right w:val="single" w:sz="8" w:space="0" w:color="2CAFA4" w:themeColor="accent2"/>
            </w:tcBorders>
            <w:noWrap/>
            <w:vAlign w:val="bottom"/>
          </w:tcPr>
          <w:p w14:paraId="27588927" w14:textId="6E7C7536" w:rsidR="00F95211" w:rsidRPr="00F95211" w:rsidRDefault="00F95211" w:rsidP="00F95211">
            <w:pPr>
              <w:spacing w:before="0" w:after="0"/>
              <w:jc w:val="center"/>
              <w:rPr>
                <w:rFonts w:ascii="Calibri" w:hAnsi="Calibri" w:cs="Calibri"/>
                <w:b w:val="0"/>
                <w:sz w:val="20"/>
                <w:szCs w:val="20"/>
              </w:rPr>
            </w:pPr>
            <w:r w:rsidRPr="00F95211">
              <w:rPr>
                <w:rFonts w:ascii="Calibri" w:hAnsi="Calibri" w:cs="Calibri"/>
                <w:b w:val="0"/>
                <w:sz w:val="20"/>
                <w:szCs w:val="20"/>
              </w:rPr>
              <w:t>AES Gener</w:t>
            </w:r>
          </w:p>
        </w:tc>
        <w:tc>
          <w:tcPr>
            <w:tcW w:w="1535" w:type="dxa"/>
            <w:tcBorders>
              <w:top w:val="single" w:sz="8" w:space="0" w:color="2CAFA4" w:themeColor="accent2"/>
              <w:left w:val="single" w:sz="8" w:space="0" w:color="2CAFA4" w:themeColor="accent2"/>
              <w:bottom w:val="single" w:sz="8" w:space="0" w:color="2CAFA4" w:themeColor="accent2"/>
              <w:right w:val="single" w:sz="8" w:space="0" w:color="2CAFA4" w:themeColor="accent2"/>
            </w:tcBorders>
            <w:noWrap/>
            <w:vAlign w:val="center"/>
          </w:tcPr>
          <w:p w14:paraId="0A925392" w14:textId="0716CCA6" w:rsidR="00F95211" w:rsidRPr="00D93244" w:rsidRDefault="00F95211" w:rsidP="00F95211">
            <w:pPr>
              <w:pStyle w:val="Sinespaciado"/>
              <w:jc w:val="center"/>
              <w:cnfStyle w:val="000000000000" w:firstRow="0" w:lastRow="0" w:firstColumn="0" w:lastColumn="0" w:oddVBand="0" w:evenVBand="0" w:oddHBand="0" w:evenHBand="0" w:firstRowFirstColumn="0" w:firstRowLastColumn="0" w:lastRowFirstColumn="0" w:lastRowLastColumn="0"/>
              <w:rPr>
                <w:rFonts w:eastAsia="Times New Roman"/>
                <w:sz w:val="20"/>
              </w:rPr>
            </w:pPr>
            <w:r>
              <w:rPr>
                <w:rFonts w:ascii="Calibri" w:hAnsi="Calibri" w:cs="Calibri"/>
                <w:sz w:val="20"/>
                <w:szCs w:val="20"/>
              </w:rPr>
              <w:t>100,0%</w:t>
            </w:r>
          </w:p>
        </w:tc>
        <w:tc>
          <w:tcPr>
            <w:tcW w:w="1672" w:type="dxa"/>
            <w:tcBorders>
              <w:top w:val="single" w:sz="8" w:space="0" w:color="2CAFA4" w:themeColor="accent2"/>
              <w:left w:val="single" w:sz="8" w:space="0" w:color="2CAFA4" w:themeColor="accent2"/>
              <w:bottom w:val="single" w:sz="8" w:space="0" w:color="2CAFA4" w:themeColor="accent2"/>
            </w:tcBorders>
            <w:noWrap/>
            <w:vAlign w:val="center"/>
          </w:tcPr>
          <w:p w14:paraId="2A9CB692" w14:textId="25EBB468" w:rsidR="00F95211" w:rsidRPr="00D93244" w:rsidRDefault="00F95211" w:rsidP="00F95211">
            <w:pPr>
              <w:pStyle w:val="Sinespaciado"/>
              <w:jc w:val="center"/>
              <w:cnfStyle w:val="000000000000" w:firstRow="0" w:lastRow="0" w:firstColumn="0" w:lastColumn="0" w:oddVBand="0" w:evenVBand="0" w:oddHBand="0" w:evenHBand="0" w:firstRowFirstColumn="0" w:firstRowLastColumn="0" w:lastRowFirstColumn="0" w:lastRowLastColumn="0"/>
              <w:rPr>
                <w:rFonts w:eastAsia="Times New Roman"/>
                <w:sz w:val="20"/>
              </w:rPr>
            </w:pPr>
            <w:r>
              <w:rPr>
                <w:rFonts w:ascii="Calibri" w:hAnsi="Calibri" w:cs="Calibri"/>
                <w:sz w:val="20"/>
                <w:szCs w:val="20"/>
              </w:rPr>
              <w:t>0,0%</w:t>
            </w:r>
          </w:p>
        </w:tc>
      </w:tr>
      <w:tr w:rsidR="00F95211" w:rsidRPr="00944E5B" w14:paraId="37853E63" w14:textId="77777777" w:rsidTr="00D0549B">
        <w:trPr>
          <w:cnfStyle w:val="000000100000" w:firstRow="0" w:lastRow="0" w:firstColumn="0" w:lastColumn="0" w:oddVBand="0" w:evenVBand="0" w:oddHBand="1"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120" w:type="dxa"/>
            <w:tcBorders>
              <w:right w:val="single" w:sz="8" w:space="0" w:color="2CAFA4" w:themeColor="accent2"/>
            </w:tcBorders>
            <w:noWrap/>
            <w:vAlign w:val="bottom"/>
          </w:tcPr>
          <w:p w14:paraId="0EA8EEBC" w14:textId="7C8FCDB1" w:rsidR="00F95211" w:rsidRPr="00F95211" w:rsidRDefault="00F95211" w:rsidP="00F95211">
            <w:pPr>
              <w:spacing w:before="0" w:after="0"/>
              <w:jc w:val="center"/>
              <w:rPr>
                <w:rFonts w:ascii="Calibri" w:hAnsi="Calibri" w:cs="Calibri"/>
                <w:b w:val="0"/>
                <w:sz w:val="20"/>
                <w:szCs w:val="20"/>
              </w:rPr>
            </w:pPr>
            <w:r w:rsidRPr="00F95211">
              <w:rPr>
                <w:rFonts w:ascii="Calibri" w:hAnsi="Calibri" w:cs="Calibri"/>
                <w:b w:val="0"/>
                <w:sz w:val="20"/>
                <w:szCs w:val="20"/>
              </w:rPr>
              <w:t>Colbún</w:t>
            </w:r>
          </w:p>
        </w:tc>
        <w:tc>
          <w:tcPr>
            <w:tcW w:w="1535" w:type="dxa"/>
            <w:tcBorders>
              <w:left w:val="single" w:sz="8" w:space="0" w:color="2CAFA4" w:themeColor="accent2"/>
              <w:right w:val="single" w:sz="8" w:space="0" w:color="2CAFA4" w:themeColor="accent2"/>
            </w:tcBorders>
            <w:noWrap/>
            <w:vAlign w:val="center"/>
          </w:tcPr>
          <w:p w14:paraId="01DB57CD" w14:textId="4077887F" w:rsidR="00F95211" w:rsidRPr="00D93244" w:rsidRDefault="00F95211" w:rsidP="00F95211">
            <w:pPr>
              <w:pStyle w:val="Sinespaciado"/>
              <w:jc w:val="center"/>
              <w:cnfStyle w:val="000000100000" w:firstRow="0" w:lastRow="0" w:firstColumn="0" w:lastColumn="0" w:oddVBand="0" w:evenVBand="0" w:oddHBand="1" w:evenHBand="0" w:firstRowFirstColumn="0" w:firstRowLastColumn="0" w:lastRowFirstColumn="0" w:lastRowLastColumn="0"/>
              <w:rPr>
                <w:rFonts w:eastAsia="Times New Roman"/>
                <w:sz w:val="20"/>
              </w:rPr>
            </w:pPr>
            <w:r>
              <w:rPr>
                <w:rFonts w:ascii="Calibri" w:hAnsi="Calibri" w:cs="Calibri"/>
                <w:sz w:val="20"/>
                <w:szCs w:val="20"/>
              </w:rPr>
              <w:t>100,0%</w:t>
            </w:r>
          </w:p>
        </w:tc>
        <w:tc>
          <w:tcPr>
            <w:tcW w:w="1672" w:type="dxa"/>
            <w:tcBorders>
              <w:left w:val="single" w:sz="8" w:space="0" w:color="2CAFA4" w:themeColor="accent2"/>
            </w:tcBorders>
            <w:noWrap/>
            <w:vAlign w:val="center"/>
          </w:tcPr>
          <w:p w14:paraId="56C3FB1C" w14:textId="082699B6" w:rsidR="00F95211" w:rsidRPr="00D93244" w:rsidRDefault="00F95211" w:rsidP="00F95211">
            <w:pPr>
              <w:pStyle w:val="Sinespaciado"/>
              <w:jc w:val="center"/>
              <w:cnfStyle w:val="000000100000" w:firstRow="0" w:lastRow="0" w:firstColumn="0" w:lastColumn="0" w:oddVBand="0" w:evenVBand="0" w:oddHBand="1" w:evenHBand="0" w:firstRowFirstColumn="0" w:firstRowLastColumn="0" w:lastRowFirstColumn="0" w:lastRowLastColumn="0"/>
              <w:rPr>
                <w:rFonts w:eastAsia="Times New Roman"/>
                <w:sz w:val="20"/>
              </w:rPr>
            </w:pPr>
            <w:r>
              <w:rPr>
                <w:rFonts w:ascii="Calibri" w:hAnsi="Calibri" w:cs="Calibri"/>
                <w:sz w:val="20"/>
                <w:szCs w:val="20"/>
              </w:rPr>
              <w:t>0,0%</w:t>
            </w:r>
          </w:p>
        </w:tc>
      </w:tr>
      <w:tr w:rsidR="00F95211" w:rsidRPr="00944E5B" w14:paraId="5781BB00" w14:textId="77777777" w:rsidTr="00D0549B">
        <w:trPr>
          <w:trHeight w:hRule="exact" w:val="283"/>
          <w:jc w:val="center"/>
        </w:trPr>
        <w:tc>
          <w:tcPr>
            <w:cnfStyle w:val="001000000000" w:firstRow="0" w:lastRow="0" w:firstColumn="1" w:lastColumn="0" w:oddVBand="0" w:evenVBand="0" w:oddHBand="0" w:evenHBand="0" w:firstRowFirstColumn="0" w:firstRowLastColumn="0" w:lastRowFirstColumn="0" w:lastRowLastColumn="0"/>
            <w:tcW w:w="2120" w:type="dxa"/>
            <w:tcBorders>
              <w:top w:val="single" w:sz="8" w:space="0" w:color="2CAFA4" w:themeColor="accent2"/>
              <w:bottom w:val="single" w:sz="8" w:space="0" w:color="2CAFA4" w:themeColor="accent2"/>
              <w:right w:val="single" w:sz="8" w:space="0" w:color="2CAFA4" w:themeColor="accent2"/>
            </w:tcBorders>
            <w:noWrap/>
            <w:vAlign w:val="bottom"/>
          </w:tcPr>
          <w:p w14:paraId="0DB724F3" w14:textId="3E0E874D" w:rsidR="00F95211" w:rsidRPr="00F95211" w:rsidRDefault="00F95211" w:rsidP="00F95211">
            <w:pPr>
              <w:spacing w:before="0" w:after="0"/>
              <w:jc w:val="center"/>
              <w:rPr>
                <w:rFonts w:ascii="Calibri" w:hAnsi="Calibri" w:cs="Calibri"/>
                <w:b w:val="0"/>
                <w:sz w:val="20"/>
                <w:szCs w:val="20"/>
              </w:rPr>
            </w:pPr>
            <w:r w:rsidRPr="00F95211">
              <w:rPr>
                <w:rFonts w:ascii="Calibri" w:hAnsi="Calibri" w:cs="Calibri"/>
                <w:b w:val="0"/>
                <w:sz w:val="20"/>
                <w:szCs w:val="20"/>
              </w:rPr>
              <w:t>Enel Distribución</w:t>
            </w:r>
          </w:p>
        </w:tc>
        <w:tc>
          <w:tcPr>
            <w:tcW w:w="1535" w:type="dxa"/>
            <w:tcBorders>
              <w:top w:val="single" w:sz="8" w:space="0" w:color="2CAFA4" w:themeColor="accent2"/>
              <w:left w:val="single" w:sz="8" w:space="0" w:color="2CAFA4" w:themeColor="accent2"/>
              <w:bottom w:val="single" w:sz="8" w:space="0" w:color="2CAFA4" w:themeColor="accent2"/>
              <w:right w:val="single" w:sz="8" w:space="0" w:color="2CAFA4" w:themeColor="accent2"/>
            </w:tcBorders>
            <w:noWrap/>
            <w:vAlign w:val="center"/>
          </w:tcPr>
          <w:p w14:paraId="46112E9B" w14:textId="714FEC81" w:rsidR="00F95211" w:rsidRPr="00D93244" w:rsidRDefault="00F95211" w:rsidP="00F95211">
            <w:pPr>
              <w:pStyle w:val="Sinespaciado"/>
              <w:jc w:val="center"/>
              <w:cnfStyle w:val="000000000000" w:firstRow="0" w:lastRow="0" w:firstColumn="0" w:lastColumn="0" w:oddVBand="0" w:evenVBand="0" w:oddHBand="0" w:evenHBand="0" w:firstRowFirstColumn="0" w:firstRowLastColumn="0" w:lastRowFirstColumn="0" w:lastRowLastColumn="0"/>
              <w:rPr>
                <w:rFonts w:eastAsia="Times New Roman"/>
                <w:sz w:val="20"/>
              </w:rPr>
            </w:pPr>
            <w:r>
              <w:rPr>
                <w:rFonts w:ascii="Calibri" w:hAnsi="Calibri" w:cs="Calibri"/>
                <w:sz w:val="20"/>
                <w:szCs w:val="20"/>
              </w:rPr>
              <w:t>100,0%</w:t>
            </w:r>
          </w:p>
        </w:tc>
        <w:tc>
          <w:tcPr>
            <w:tcW w:w="1672" w:type="dxa"/>
            <w:tcBorders>
              <w:top w:val="single" w:sz="8" w:space="0" w:color="2CAFA4" w:themeColor="accent2"/>
              <w:left w:val="single" w:sz="8" w:space="0" w:color="2CAFA4" w:themeColor="accent2"/>
              <w:bottom w:val="single" w:sz="8" w:space="0" w:color="2CAFA4" w:themeColor="accent2"/>
            </w:tcBorders>
            <w:noWrap/>
            <w:vAlign w:val="center"/>
          </w:tcPr>
          <w:p w14:paraId="1C35D038" w14:textId="4D0A0623" w:rsidR="00F95211" w:rsidRPr="00D93244" w:rsidRDefault="00F95211" w:rsidP="00F95211">
            <w:pPr>
              <w:pStyle w:val="Sinespaciado"/>
              <w:jc w:val="center"/>
              <w:cnfStyle w:val="000000000000" w:firstRow="0" w:lastRow="0" w:firstColumn="0" w:lastColumn="0" w:oddVBand="0" w:evenVBand="0" w:oddHBand="0" w:evenHBand="0" w:firstRowFirstColumn="0" w:firstRowLastColumn="0" w:lastRowFirstColumn="0" w:lastRowLastColumn="0"/>
              <w:rPr>
                <w:rFonts w:eastAsia="Times New Roman"/>
                <w:sz w:val="20"/>
              </w:rPr>
            </w:pPr>
            <w:r>
              <w:rPr>
                <w:rFonts w:ascii="Calibri" w:hAnsi="Calibri" w:cs="Calibri"/>
                <w:sz w:val="20"/>
                <w:szCs w:val="20"/>
              </w:rPr>
              <w:t>0,0%</w:t>
            </w:r>
          </w:p>
        </w:tc>
      </w:tr>
      <w:tr w:rsidR="00F95211" w:rsidRPr="00944E5B" w14:paraId="6FCB2D9A" w14:textId="77777777" w:rsidTr="00D0549B">
        <w:trPr>
          <w:cnfStyle w:val="000000100000" w:firstRow="0" w:lastRow="0" w:firstColumn="0" w:lastColumn="0" w:oddVBand="0" w:evenVBand="0" w:oddHBand="1"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120" w:type="dxa"/>
            <w:tcBorders>
              <w:right w:val="single" w:sz="8" w:space="0" w:color="2CAFA4" w:themeColor="accent2"/>
            </w:tcBorders>
            <w:noWrap/>
            <w:vAlign w:val="bottom"/>
          </w:tcPr>
          <w:p w14:paraId="26EFD3DB" w14:textId="3D851678" w:rsidR="00F95211" w:rsidRPr="00F95211" w:rsidRDefault="00F95211" w:rsidP="00F95211">
            <w:pPr>
              <w:spacing w:before="0" w:after="0"/>
              <w:jc w:val="center"/>
              <w:rPr>
                <w:rFonts w:ascii="Calibri" w:hAnsi="Calibri" w:cs="Calibri"/>
                <w:b w:val="0"/>
                <w:sz w:val="20"/>
                <w:szCs w:val="20"/>
              </w:rPr>
            </w:pPr>
            <w:r w:rsidRPr="00F95211">
              <w:rPr>
                <w:rFonts w:ascii="Calibri" w:hAnsi="Calibri" w:cs="Calibri"/>
                <w:b w:val="0"/>
                <w:sz w:val="20"/>
                <w:szCs w:val="20"/>
              </w:rPr>
              <w:t>Chilquinta</w:t>
            </w:r>
          </w:p>
        </w:tc>
        <w:tc>
          <w:tcPr>
            <w:tcW w:w="1535" w:type="dxa"/>
            <w:tcBorders>
              <w:left w:val="single" w:sz="8" w:space="0" w:color="2CAFA4" w:themeColor="accent2"/>
              <w:right w:val="single" w:sz="8" w:space="0" w:color="2CAFA4" w:themeColor="accent2"/>
            </w:tcBorders>
            <w:noWrap/>
            <w:vAlign w:val="center"/>
          </w:tcPr>
          <w:p w14:paraId="599F3EC4" w14:textId="7B94BE25" w:rsidR="00F95211" w:rsidRPr="00D93244" w:rsidRDefault="00F95211" w:rsidP="00F95211">
            <w:pPr>
              <w:pStyle w:val="Sinespaciado"/>
              <w:jc w:val="center"/>
              <w:cnfStyle w:val="000000100000" w:firstRow="0" w:lastRow="0" w:firstColumn="0" w:lastColumn="0" w:oddVBand="0" w:evenVBand="0" w:oddHBand="1" w:evenHBand="0" w:firstRowFirstColumn="0" w:firstRowLastColumn="0" w:lastRowFirstColumn="0" w:lastRowLastColumn="0"/>
              <w:rPr>
                <w:rFonts w:eastAsia="Times New Roman"/>
                <w:sz w:val="20"/>
              </w:rPr>
            </w:pPr>
            <w:r>
              <w:rPr>
                <w:rFonts w:ascii="Calibri" w:hAnsi="Calibri" w:cs="Calibri"/>
                <w:sz w:val="20"/>
                <w:szCs w:val="20"/>
              </w:rPr>
              <w:t>100,0%</w:t>
            </w:r>
          </w:p>
        </w:tc>
        <w:tc>
          <w:tcPr>
            <w:tcW w:w="1672" w:type="dxa"/>
            <w:tcBorders>
              <w:left w:val="single" w:sz="8" w:space="0" w:color="2CAFA4" w:themeColor="accent2"/>
            </w:tcBorders>
            <w:noWrap/>
            <w:vAlign w:val="center"/>
          </w:tcPr>
          <w:p w14:paraId="4D37C69C" w14:textId="4B96187C" w:rsidR="00F95211" w:rsidRPr="00D93244" w:rsidRDefault="00F95211" w:rsidP="00F95211">
            <w:pPr>
              <w:pStyle w:val="Sinespaciado"/>
              <w:jc w:val="center"/>
              <w:cnfStyle w:val="000000100000" w:firstRow="0" w:lastRow="0" w:firstColumn="0" w:lastColumn="0" w:oddVBand="0" w:evenVBand="0" w:oddHBand="1" w:evenHBand="0" w:firstRowFirstColumn="0" w:firstRowLastColumn="0" w:lastRowFirstColumn="0" w:lastRowLastColumn="0"/>
              <w:rPr>
                <w:rFonts w:eastAsia="Times New Roman"/>
                <w:sz w:val="20"/>
              </w:rPr>
            </w:pPr>
            <w:r>
              <w:rPr>
                <w:rFonts w:ascii="Calibri" w:hAnsi="Calibri" w:cs="Calibri"/>
                <w:sz w:val="20"/>
                <w:szCs w:val="20"/>
              </w:rPr>
              <w:t>0,0%</w:t>
            </w:r>
          </w:p>
        </w:tc>
      </w:tr>
      <w:tr w:rsidR="00F95211" w:rsidRPr="00944E5B" w14:paraId="5BA31F85" w14:textId="77777777" w:rsidTr="00D0549B">
        <w:trPr>
          <w:trHeight w:hRule="exact" w:val="283"/>
          <w:jc w:val="center"/>
        </w:trPr>
        <w:tc>
          <w:tcPr>
            <w:cnfStyle w:val="001000000000" w:firstRow="0" w:lastRow="0" w:firstColumn="1" w:lastColumn="0" w:oddVBand="0" w:evenVBand="0" w:oddHBand="0" w:evenHBand="0" w:firstRowFirstColumn="0" w:firstRowLastColumn="0" w:lastRowFirstColumn="0" w:lastRowLastColumn="0"/>
            <w:tcW w:w="2120" w:type="dxa"/>
            <w:tcBorders>
              <w:top w:val="single" w:sz="8" w:space="0" w:color="2CAFA4" w:themeColor="accent2"/>
              <w:bottom w:val="single" w:sz="8" w:space="0" w:color="2CAFA4" w:themeColor="accent2"/>
              <w:right w:val="single" w:sz="8" w:space="0" w:color="2CAFA4" w:themeColor="accent2"/>
            </w:tcBorders>
            <w:noWrap/>
            <w:vAlign w:val="bottom"/>
          </w:tcPr>
          <w:p w14:paraId="60A17277" w14:textId="7FCB1097" w:rsidR="00F95211" w:rsidRPr="00F95211" w:rsidRDefault="00F95211" w:rsidP="00F95211">
            <w:pPr>
              <w:spacing w:before="0" w:after="0"/>
              <w:jc w:val="center"/>
              <w:rPr>
                <w:rFonts w:ascii="Calibri" w:hAnsi="Calibri" w:cs="Calibri"/>
                <w:b w:val="0"/>
                <w:sz w:val="20"/>
                <w:szCs w:val="20"/>
              </w:rPr>
            </w:pPr>
            <w:r w:rsidRPr="00F95211">
              <w:rPr>
                <w:rFonts w:ascii="Calibri" w:hAnsi="Calibri" w:cs="Calibri"/>
                <w:b w:val="0"/>
                <w:sz w:val="20"/>
                <w:szCs w:val="20"/>
              </w:rPr>
              <w:t>Enel Generación</w:t>
            </w:r>
          </w:p>
        </w:tc>
        <w:tc>
          <w:tcPr>
            <w:tcW w:w="1535" w:type="dxa"/>
            <w:tcBorders>
              <w:top w:val="single" w:sz="8" w:space="0" w:color="2CAFA4" w:themeColor="accent2"/>
              <w:left w:val="single" w:sz="8" w:space="0" w:color="2CAFA4" w:themeColor="accent2"/>
              <w:bottom w:val="single" w:sz="8" w:space="0" w:color="2CAFA4" w:themeColor="accent2"/>
              <w:right w:val="single" w:sz="8" w:space="0" w:color="2CAFA4" w:themeColor="accent2"/>
            </w:tcBorders>
            <w:noWrap/>
            <w:vAlign w:val="center"/>
          </w:tcPr>
          <w:p w14:paraId="2CB13372" w14:textId="2FCF4C07" w:rsidR="00F95211" w:rsidRPr="00D93244" w:rsidRDefault="00F95211" w:rsidP="00F95211">
            <w:pPr>
              <w:pStyle w:val="Sinespaciado"/>
              <w:jc w:val="center"/>
              <w:cnfStyle w:val="000000000000" w:firstRow="0" w:lastRow="0" w:firstColumn="0" w:lastColumn="0" w:oddVBand="0" w:evenVBand="0" w:oddHBand="0" w:evenHBand="0" w:firstRowFirstColumn="0" w:firstRowLastColumn="0" w:lastRowFirstColumn="0" w:lastRowLastColumn="0"/>
              <w:rPr>
                <w:rFonts w:eastAsia="Times New Roman"/>
                <w:sz w:val="20"/>
              </w:rPr>
            </w:pPr>
            <w:r>
              <w:rPr>
                <w:rFonts w:ascii="Calibri" w:hAnsi="Calibri" w:cs="Calibri"/>
                <w:sz w:val="20"/>
                <w:szCs w:val="20"/>
              </w:rPr>
              <w:t>100,0%</w:t>
            </w:r>
          </w:p>
        </w:tc>
        <w:tc>
          <w:tcPr>
            <w:tcW w:w="1672" w:type="dxa"/>
            <w:tcBorders>
              <w:top w:val="single" w:sz="8" w:space="0" w:color="2CAFA4" w:themeColor="accent2"/>
              <w:left w:val="single" w:sz="8" w:space="0" w:color="2CAFA4" w:themeColor="accent2"/>
              <w:bottom w:val="single" w:sz="8" w:space="0" w:color="2CAFA4" w:themeColor="accent2"/>
            </w:tcBorders>
            <w:noWrap/>
            <w:vAlign w:val="center"/>
          </w:tcPr>
          <w:p w14:paraId="250F6BB1" w14:textId="458739AA" w:rsidR="00F95211" w:rsidRPr="00D93244" w:rsidRDefault="00F95211" w:rsidP="00F95211">
            <w:pPr>
              <w:pStyle w:val="Sinespaciado"/>
              <w:jc w:val="center"/>
              <w:cnfStyle w:val="000000000000" w:firstRow="0" w:lastRow="0" w:firstColumn="0" w:lastColumn="0" w:oddVBand="0" w:evenVBand="0" w:oddHBand="0" w:evenHBand="0" w:firstRowFirstColumn="0" w:firstRowLastColumn="0" w:lastRowFirstColumn="0" w:lastRowLastColumn="0"/>
              <w:rPr>
                <w:rFonts w:eastAsia="Times New Roman"/>
                <w:sz w:val="20"/>
              </w:rPr>
            </w:pPr>
            <w:r>
              <w:rPr>
                <w:rFonts w:ascii="Calibri" w:hAnsi="Calibri" w:cs="Calibri"/>
                <w:sz w:val="20"/>
                <w:szCs w:val="20"/>
              </w:rPr>
              <w:t>0,0%</w:t>
            </w:r>
          </w:p>
        </w:tc>
      </w:tr>
      <w:tr w:rsidR="00F95211" w:rsidRPr="00944E5B" w14:paraId="085F5160" w14:textId="77777777" w:rsidTr="00D0549B">
        <w:trPr>
          <w:cnfStyle w:val="000000100000" w:firstRow="0" w:lastRow="0" w:firstColumn="0" w:lastColumn="0" w:oddVBand="0" w:evenVBand="0" w:oddHBand="1"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120" w:type="dxa"/>
            <w:tcBorders>
              <w:right w:val="single" w:sz="8" w:space="0" w:color="2CAFA4" w:themeColor="accent2"/>
            </w:tcBorders>
            <w:noWrap/>
            <w:vAlign w:val="bottom"/>
          </w:tcPr>
          <w:p w14:paraId="1BFD1054" w14:textId="71BBC30E" w:rsidR="00F95211" w:rsidRPr="00F95211" w:rsidRDefault="00F95211" w:rsidP="00F95211">
            <w:pPr>
              <w:spacing w:before="0" w:after="0"/>
              <w:jc w:val="center"/>
              <w:rPr>
                <w:rFonts w:ascii="Calibri" w:hAnsi="Calibri" w:cs="Calibri"/>
                <w:b w:val="0"/>
                <w:sz w:val="20"/>
                <w:szCs w:val="20"/>
              </w:rPr>
            </w:pPr>
            <w:r w:rsidRPr="00F95211">
              <w:rPr>
                <w:rFonts w:ascii="Calibri" w:hAnsi="Calibri" w:cs="Calibri"/>
                <w:b w:val="0"/>
                <w:sz w:val="20"/>
                <w:szCs w:val="20"/>
              </w:rPr>
              <w:t>STS</w:t>
            </w:r>
          </w:p>
        </w:tc>
        <w:tc>
          <w:tcPr>
            <w:tcW w:w="1535" w:type="dxa"/>
            <w:tcBorders>
              <w:left w:val="single" w:sz="8" w:space="0" w:color="2CAFA4" w:themeColor="accent2"/>
              <w:right w:val="single" w:sz="8" w:space="0" w:color="2CAFA4" w:themeColor="accent2"/>
            </w:tcBorders>
            <w:noWrap/>
            <w:vAlign w:val="center"/>
          </w:tcPr>
          <w:p w14:paraId="56682647" w14:textId="1CF8B7DE" w:rsidR="00F95211" w:rsidRPr="00D93244" w:rsidRDefault="00F95211" w:rsidP="00F95211">
            <w:pPr>
              <w:pStyle w:val="Sinespaciado"/>
              <w:jc w:val="center"/>
              <w:cnfStyle w:val="000000100000" w:firstRow="0" w:lastRow="0" w:firstColumn="0" w:lastColumn="0" w:oddVBand="0" w:evenVBand="0" w:oddHBand="1" w:evenHBand="0" w:firstRowFirstColumn="0" w:firstRowLastColumn="0" w:lastRowFirstColumn="0" w:lastRowLastColumn="0"/>
              <w:rPr>
                <w:rFonts w:eastAsia="Times New Roman"/>
                <w:sz w:val="20"/>
              </w:rPr>
            </w:pPr>
            <w:r>
              <w:rPr>
                <w:rFonts w:ascii="Calibri" w:hAnsi="Calibri" w:cs="Calibri"/>
                <w:sz w:val="20"/>
                <w:szCs w:val="20"/>
              </w:rPr>
              <w:t>100,0%</w:t>
            </w:r>
          </w:p>
        </w:tc>
        <w:tc>
          <w:tcPr>
            <w:tcW w:w="1672" w:type="dxa"/>
            <w:tcBorders>
              <w:left w:val="single" w:sz="8" w:space="0" w:color="2CAFA4" w:themeColor="accent2"/>
            </w:tcBorders>
            <w:noWrap/>
            <w:vAlign w:val="center"/>
          </w:tcPr>
          <w:p w14:paraId="749161BC" w14:textId="36281697" w:rsidR="00F95211" w:rsidRPr="00D93244" w:rsidRDefault="00F95211" w:rsidP="00F95211">
            <w:pPr>
              <w:pStyle w:val="Sinespaciado"/>
              <w:jc w:val="center"/>
              <w:cnfStyle w:val="000000100000" w:firstRow="0" w:lastRow="0" w:firstColumn="0" w:lastColumn="0" w:oddVBand="0" w:evenVBand="0" w:oddHBand="1" w:evenHBand="0" w:firstRowFirstColumn="0" w:firstRowLastColumn="0" w:lastRowFirstColumn="0" w:lastRowLastColumn="0"/>
              <w:rPr>
                <w:rFonts w:eastAsia="Times New Roman"/>
                <w:sz w:val="20"/>
              </w:rPr>
            </w:pPr>
            <w:r>
              <w:rPr>
                <w:rFonts w:ascii="Calibri" w:hAnsi="Calibri" w:cs="Calibri"/>
                <w:sz w:val="20"/>
                <w:szCs w:val="20"/>
              </w:rPr>
              <w:t>0,0%</w:t>
            </w:r>
          </w:p>
        </w:tc>
      </w:tr>
      <w:tr w:rsidR="00F95211" w:rsidRPr="00944E5B" w14:paraId="76A95B95" w14:textId="77777777" w:rsidTr="00D0549B">
        <w:trPr>
          <w:trHeight w:hRule="exact" w:val="283"/>
          <w:jc w:val="center"/>
        </w:trPr>
        <w:tc>
          <w:tcPr>
            <w:cnfStyle w:val="001000000000" w:firstRow="0" w:lastRow="0" w:firstColumn="1" w:lastColumn="0" w:oddVBand="0" w:evenVBand="0" w:oddHBand="0" w:evenHBand="0" w:firstRowFirstColumn="0" w:firstRowLastColumn="0" w:lastRowFirstColumn="0" w:lastRowLastColumn="0"/>
            <w:tcW w:w="2120" w:type="dxa"/>
            <w:tcBorders>
              <w:top w:val="single" w:sz="8" w:space="0" w:color="2CAFA4" w:themeColor="accent2"/>
              <w:bottom w:val="single" w:sz="8" w:space="0" w:color="2CAFA4" w:themeColor="accent2"/>
              <w:right w:val="single" w:sz="8" w:space="0" w:color="2CAFA4" w:themeColor="accent2"/>
            </w:tcBorders>
            <w:noWrap/>
            <w:vAlign w:val="bottom"/>
          </w:tcPr>
          <w:p w14:paraId="4BC18EE4" w14:textId="11CD6553" w:rsidR="00F95211" w:rsidRPr="00F95211" w:rsidRDefault="00F95211" w:rsidP="00F95211">
            <w:pPr>
              <w:spacing w:before="0" w:after="0"/>
              <w:jc w:val="center"/>
              <w:rPr>
                <w:rFonts w:ascii="Calibri" w:hAnsi="Calibri" w:cs="Calibri"/>
                <w:b w:val="0"/>
                <w:sz w:val="20"/>
                <w:szCs w:val="20"/>
              </w:rPr>
            </w:pPr>
            <w:r w:rsidRPr="00F95211">
              <w:rPr>
                <w:rFonts w:ascii="Calibri" w:hAnsi="Calibri" w:cs="Calibri"/>
                <w:b w:val="0"/>
                <w:sz w:val="20"/>
                <w:szCs w:val="20"/>
              </w:rPr>
              <w:t>Transelec</w:t>
            </w:r>
          </w:p>
        </w:tc>
        <w:tc>
          <w:tcPr>
            <w:tcW w:w="1535" w:type="dxa"/>
            <w:tcBorders>
              <w:top w:val="single" w:sz="8" w:space="0" w:color="2CAFA4" w:themeColor="accent2"/>
              <w:left w:val="single" w:sz="8" w:space="0" w:color="2CAFA4" w:themeColor="accent2"/>
              <w:bottom w:val="single" w:sz="8" w:space="0" w:color="2CAFA4" w:themeColor="accent2"/>
              <w:right w:val="single" w:sz="8" w:space="0" w:color="2CAFA4" w:themeColor="accent2"/>
            </w:tcBorders>
            <w:noWrap/>
            <w:vAlign w:val="center"/>
          </w:tcPr>
          <w:p w14:paraId="5B939173" w14:textId="4093B0B8" w:rsidR="00F95211" w:rsidRPr="00D93244" w:rsidRDefault="00F95211" w:rsidP="00F95211">
            <w:pPr>
              <w:pStyle w:val="Sinespaciado"/>
              <w:jc w:val="center"/>
              <w:cnfStyle w:val="000000000000" w:firstRow="0" w:lastRow="0" w:firstColumn="0" w:lastColumn="0" w:oddVBand="0" w:evenVBand="0" w:oddHBand="0" w:evenHBand="0" w:firstRowFirstColumn="0" w:firstRowLastColumn="0" w:lastRowFirstColumn="0" w:lastRowLastColumn="0"/>
              <w:rPr>
                <w:rFonts w:eastAsia="Times New Roman"/>
                <w:sz w:val="20"/>
              </w:rPr>
            </w:pPr>
            <w:r>
              <w:rPr>
                <w:rFonts w:ascii="Calibri" w:hAnsi="Calibri" w:cs="Calibri"/>
                <w:sz w:val="20"/>
                <w:szCs w:val="20"/>
              </w:rPr>
              <w:t>100,0%</w:t>
            </w:r>
          </w:p>
        </w:tc>
        <w:tc>
          <w:tcPr>
            <w:tcW w:w="1672" w:type="dxa"/>
            <w:tcBorders>
              <w:top w:val="single" w:sz="8" w:space="0" w:color="2CAFA4" w:themeColor="accent2"/>
              <w:left w:val="single" w:sz="8" w:space="0" w:color="2CAFA4" w:themeColor="accent2"/>
              <w:bottom w:val="single" w:sz="8" w:space="0" w:color="2CAFA4" w:themeColor="accent2"/>
            </w:tcBorders>
            <w:noWrap/>
            <w:vAlign w:val="center"/>
          </w:tcPr>
          <w:p w14:paraId="473FD3B3" w14:textId="0533BDB7" w:rsidR="00F95211" w:rsidRPr="00D93244" w:rsidRDefault="00F95211" w:rsidP="00F95211">
            <w:pPr>
              <w:pStyle w:val="Sinespaciado"/>
              <w:jc w:val="center"/>
              <w:cnfStyle w:val="000000000000" w:firstRow="0" w:lastRow="0" w:firstColumn="0" w:lastColumn="0" w:oddVBand="0" w:evenVBand="0" w:oddHBand="0" w:evenHBand="0" w:firstRowFirstColumn="0" w:firstRowLastColumn="0" w:lastRowFirstColumn="0" w:lastRowLastColumn="0"/>
              <w:rPr>
                <w:rFonts w:eastAsia="Times New Roman"/>
                <w:sz w:val="20"/>
              </w:rPr>
            </w:pPr>
            <w:r>
              <w:rPr>
                <w:rFonts w:ascii="Calibri" w:hAnsi="Calibri" w:cs="Calibri"/>
                <w:sz w:val="20"/>
                <w:szCs w:val="20"/>
              </w:rPr>
              <w:t>0,0%</w:t>
            </w:r>
          </w:p>
        </w:tc>
      </w:tr>
      <w:tr w:rsidR="00F95211" w:rsidRPr="00944E5B" w14:paraId="750D29D6" w14:textId="77777777" w:rsidTr="00D0549B">
        <w:trPr>
          <w:cnfStyle w:val="000000100000" w:firstRow="0" w:lastRow="0" w:firstColumn="0" w:lastColumn="0" w:oddVBand="0" w:evenVBand="0" w:oddHBand="1"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120" w:type="dxa"/>
            <w:tcBorders>
              <w:right w:val="single" w:sz="8" w:space="0" w:color="2CAFA4" w:themeColor="accent2"/>
            </w:tcBorders>
            <w:noWrap/>
            <w:vAlign w:val="bottom"/>
          </w:tcPr>
          <w:p w14:paraId="5A2B5000" w14:textId="29AC7AE0" w:rsidR="00F95211" w:rsidRPr="00F95211" w:rsidRDefault="00F95211" w:rsidP="00F95211">
            <w:pPr>
              <w:spacing w:before="0" w:after="0"/>
              <w:jc w:val="center"/>
              <w:rPr>
                <w:rFonts w:ascii="Calibri" w:hAnsi="Calibri" w:cs="Calibri"/>
                <w:b w:val="0"/>
                <w:sz w:val="20"/>
                <w:szCs w:val="20"/>
              </w:rPr>
            </w:pPr>
            <w:r w:rsidRPr="00F95211">
              <w:rPr>
                <w:rFonts w:ascii="Calibri" w:hAnsi="Calibri" w:cs="Calibri"/>
                <w:b w:val="0"/>
                <w:sz w:val="20"/>
                <w:szCs w:val="20"/>
              </w:rPr>
              <w:t>CGE</w:t>
            </w:r>
          </w:p>
        </w:tc>
        <w:tc>
          <w:tcPr>
            <w:tcW w:w="1535" w:type="dxa"/>
            <w:tcBorders>
              <w:left w:val="single" w:sz="8" w:space="0" w:color="2CAFA4" w:themeColor="accent2"/>
              <w:right w:val="single" w:sz="8" w:space="0" w:color="2CAFA4" w:themeColor="accent2"/>
            </w:tcBorders>
            <w:noWrap/>
            <w:vAlign w:val="center"/>
          </w:tcPr>
          <w:p w14:paraId="4AA8E6FE" w14:textId="3A9818E1" w:rsidR="00F95211" w:rsidRPr="00D93244" w:rsidRDefault="00F95211" w:rsidP="00F95211">
            <w:pPr>
              <w:pStyle w:val="Sinespaciado"/>
              <w:jc w:val="center"/>
              <w:cnfStyle w:val="000000100000" w:firstRow="0" w:lastRow="0" w:firstColumn="0" w:lastColumn="0" w:oddVBand="0" w:evenVBand="0" w:oddHBand="1" w:evenHBand="0" w:firstRowFirstColumn="0" w:firstRowLastColumn="0" w:lastRowFirstColumn="0" w:lastRowLastColumn="0"/>
              <w:rPr>
                <w:rFonts w:eastAsia="Times New Roman"/>
                <w:sz w:val="20"/>
              </w:rPr>
            </w:pPr>
            <w:r>
              <w:rPr>
                <w:rFonts w:ascii="Calibri" w:hAnsi="Calibri" w:cs="Calibri"/>
                <w:sz w:val="20"/>
                <w:szCs w:val="20"/>
              </w:rPr>
              <w:t>100,0%</w:t>
            </w:r>
          </w:p>
        </w:tc>
        <w:tc>
          <w:tcPr>
            <w:tcW w:w="1672" w:type="dxa"/>
            <w:tcBorders>
              <w:left w:val="single" w:sz="8" w:space="0" w:color="2CAFA4" w:themeColor="accent2"/>
            </w:tcBorders>
            <w:noWrap/>
            <w:vAlign w:val="center"/>
          </w:tcPr>
          <w:p w14:paraId="4CB273B1" w14:textId="18FE35B2" w:rsidR="00F95211" w:rsidRPr="00D93244" w:rsidRDefault="00F95211" w:rsidP="00F95211">
            <w:pPr>
              <w:pStyle w:val="Sinespaciado"/>
              <w:jc w:val="center"/>
              <w:cnfStyle w:val="000000100000" w:firstRow="0" w:lastRow="0" w:firstColumn="0" w:lastColumn="0" w:oddVBand="0" w:evenVBand="0" w:oddHBand="1" w:evenHBand="0" w:firstRowFirstColumn="0" w:firstRowLastColumn="0" w:lastRowFirstColumn="0" w:lastRowLastColumn="0"/>
              <w:rPr>
                <w:rFonts w:eastAsia="Times New Roman"/>
                <w:sz w:val="20"/>
              </w:rPr>
            </w:pPr>
            <w:r>
              <w:rPr>
                <w:rFonts w:ascii="Calibri" w:hAnsi="Calibri" w:cs="Calibri"/>
                <w:sz w:val="20"/>
                <w:szCs w:val="20"/>
              </w:rPr>
              <w:t>0,0%</w:t>
            </w:r>
          </w:p>
        </w:tc>
      </w:tr>
      <w:tr w:rsidR="00F95211" w:rsidRPr="00944E5B" w14:paraId="4C671095" w14:textId="77777777" w:rsidTr="00D0549B">
        <w:trPr>
          <w:trHeight w:hRule="exact" w:val="283"/>
          <w:jc w:val="center"/>
        </w:trPr>
        <w:tc>
          <w:tcPr>
            <w:cnfStyle w:val="001000000000" w:firstRow="0" w:lastRow="0" w:firstColumn="1" w:lastColumn="0" w:oddVBand="0" w:evenVBand="0" w:oddHBand="0" w:evenHBand="0" w:firstRowFirstColumn="0" w:firstRowLastColumn="0" w:lastRowFirstColumn="0" w:lastRowLastColumn="0"/>
            <w:tcW w:w="2120" w:type="dxa"/>
            <w:tcBorders>
              <w:right w:val="single" w:sz="8" w:space="0" w:color="2CAFA4" w:themeColor="accent2"/>
            </w:tcBorders>
            <w:noWrap/>
            <w:vAlign w:val="bottom"/>
          </w:tcPr>
          <w:p w14:paraId="458DBCAD" w14:textId="58F2A336" w:rsidR="00F95211" w:rsidRPr="00F95211" w:rsidRDefault="00F95211" w:rsidP="00F95211">
            <w:pPr>
              <w:spacing w:before="0" w:after="0"/>
              <w:jc w:val="center"/>
              <w:rPr>
                <w:rFonts w:ascii="Calibri" w:hAnsi="Calibri" w:cs="Calibri"/>
                <w:b w:val="0"/>
                <w:sz w:val="20"/>
                <w:szCs w:val="20"/>
              </w:rPr>
            </w:pPr>
            <w:r w:rsidRPr="00F95211">
              <w:rPr>
                <w:rFonts w:ascii="Calibri" w:hAnsi="Calibri" w:cs="Calibri"/>
                <w:b w:val="0"/>
                <w:sz w:val="20"/>
                <w:szCs w:val="20"/>
              </w:rPr>
              <w:t>TEN</w:t>
            </w:r>
          </w:p>
        </w:tc>
        <w:tc>
          <w:tcPr>
            <w:tcW w:w="1535" w:type="dxa"/>
            <w:tcBorders>
              <w:left w:val="single" w:sz="8" w:space="0" w:color="2CAFA4" w:themeColor="accent2"/>
              <w:right w:val="single" w:sz="8" w:space="0" w:color="2CAFA4" w:themeColor="accent2"/>
            </w:tcBorders>
            <w:noWrap/>
            <w:vAlign w:val="center"/>
          </w:tcPr>
          <w:p w14:paraId="698C1F59" w14:textId="6B5EBD9C" w:rsidR="00F95211" w:rsidRPr="00D93244" w:rsidRDefault="00F95211" w:rsidP="00F95211">
            <w:pPr>
              <w:pStyle w:val="Sinespaciado"/>
              <w:jc w:val="center"/>
              <w:cnfStyle w:val="000000000000" w:firstRow="0" w:lastRow="0" w:firstColumn="0" w:lastColumn="0" w:oddVBand="0" w:evenVBand="0" w:oddHBand="0" w:evenHBand="0" w:firstRowFirstColumn="0" w:firstRowLastColumn="0" w:lastRowFirstColumn="0" w:lastRowLastColumn="0"/>
              <w:rPr>
                <w:rFonts w:eastAsia="Times New Roman"/>
                <w:sz w:val="20"/>
              </w:rPr>
            </w:pPr>
            <w:r>
              <w:rPr>
                <w:rFonts w:ascii="Calibri" w:hAnsi="Calibri" w:cs="Calibri"/>
                <w:sz w:val="20"/>
                <w:szCs w:val="20"/>
              </w:rPr>
              <w:t>100,0%</w:t>
            </w:r>
          </w:p>
        </w:tc>
        <w:tc>
          <w:tcPr>
            <w:tcW w:w="1672" w:type="dxa"/>
            <w:tcBorders>
              <w:left w:val="single" w:sz="8" w:space="0" w:color="2CAFA4" w:themeColor="accent2"/>
            </w:tcBorders>
            <w:noWrap/>
            <w:vAlign w:val="center"/>
          </w:tcPr>
          <w:p w14:paraId="3F9B85C1" w14:textId="2C9D029C" w:rsidR="00F95211" w:rsidRPr="00D93244" w:rsidRDefault="00F95211" w:rsidP="00F95211">
            <w:pPr>
              <w:pStyle w:val="Sinespaciado"/>
              <w:jc w:val="center"/>
              <w:cnfStyle w:val="000000000000" w:firstRow="0" w:lastRow="0" w:firstColumn="0" w:lastColumn="0" w:oddVBand="0" w:evenVBand="0" w:oddHBand="0" w:evenHBand="0" w:firstRowFirstColumn="0" w:firstRowLastColumn="0" w:lastRowFirstColumn="0" w:lastRowLastColumn="0"/>
              <w:rPr>
                <w:rFonts w:eastAsia="Times New Roman"/>
                <w:sz w:val="20"/>
              </w:rPr>
            </w:pPr>
            <w:r>
              <w:rPr>
                <w:rFonts w:ascii="Calibri" w:hAnsi="Calibri" w:cs="Calibri"/>
                <w:sz w:val="20"/>
                <w:szCs w:val="20"/>
              </w:rPr>
              <w:t>0,0%</w:t>
            </w:r>
          </w:p>
        </w:tc>
      </w:tr>
    </w:tbl>
    <w:p w14:paraId="150ADD19" w14:textId="77777777" w:rsidR="0054535B" w:rsidRPr="00944E5B" w:rsidRDefault="0054535B" w:rsidP="00F76D4B">
      <w:pPr>
        <w:rPr>
          <w:color w:val="007DB1" w:themeColor="background1"/>
        </w:rPr>
      </w:pPr>
    </w:p>
    <w:p w14:paraId="5CD0C05A" w14:textId="77777777" w:rsidR="0054535B" w:rsidRPr="00944E5B" w:rsidRDefault="0054535B" w:rsidP="00F76D4B">
      <w:pPr>
        <w:rPr>
          <w:color w:val="007DB1" w:themeColor="background1"/>
        </w:rPr>
      </w:pPr>
    </w:p>
    <w:p w14:paraId="4F702658" w14:textId="77777777" w:rsidR="0054535B" w:rsidRPr="00944E5B" w:rsidRDefault="0054535B" w:rsidP="00F76D4B">
      <w:pPr>
        <w:rPr>
          <w:color w:val="007DB1" w:themeColor="background1"/>
        </w:rPr>
      </w:pPr>
    </w:p>
    <w:p w14:paraId="1C7BDC28" w14:textId="77777777" w:rsidR="003A06F5" w:rsidRPr="00F72BCD" w:rsidRDefault="008F3789" w:rsidP="003A06F5">
      <w:pPr>
        <w:pStyle w:val="Ttulo2"/>
        <w:rPr>
          <w:color w:val="auto"/>
        </w:rPr>
      </w:pPr>
      <w:bookmarkStart w:id="43" w:name="_Toc446506924"/>
      <w:bookmarkStart w:id="44" w:name="_Toc447127744"/>
      <w:bookmarkStart w:id="45" w:name="_Toc34319838"/>
      <w:r w:rsidRPr="00F72BCD">
        <w:rPr>
          <w:caps w:val="0"/>
          <w:color w:val="auto"/>
        </w:rPr>
        <w:lastRenderedPageBreak/>
        <w:t>PLAN DE DEFENSA CONTRA CONTINGENCIAS EXTREMAS</w:t>
      </w:r>
      <w:bookmarkEnd w:id="43"/>
      <w:bookmarkEnd w:id="44"/>
      <w:r w:rsidR="007C5ED9" w:rsidRPr="00F72BCD">
        <w:rPr>
          <w:caps w:val="0"/>
          <w:color w:val="auto"/>
        </w:rPr>
        <w:t xml:space="preserve"> (PDCE)</w:t>
      </w:r>
      <w:bookmarkEnd w:id="45"/>
    </w:p>
    <w:p w14:paraId="56B9AA5E" w14:textId="77777777" w:rsidR="00944437" w:rsidRPr="00AE3EB2" w:rsidRDefault="007C5ED9" w:rsidP="00944437">
      <w:bookmarkStart w:id="46" w:name="_Hlk33642109"/>
      <w:r w:rsidRPr="00AE3EB2">
        <w:t>El P</w:t>
      </w:r>
      <w:r w:rsidR="00271B16" w:rsidRPr="00AE3EB2">
        <w:t xml:space="preserve">DCE vigente en el Sistema Eléctrico Nacional está conformado </w:t>
      </w:r>
      <w:r w:rsidR="0068603F">
        <w:t>por las Fases 1 y 3 del Estudio PDCE, según el siguiente alcance:</w:t>
      </w:r>
    </w:p>
    <w:p w14:paraId="2BC9CF10" w14:textId="77777777" w:rsidR="00944437" w:rsidRPr="00647B74" w:rsidRDefault="00944437" w:rsidP="00944437">
      <w:pPr>
        <w:pStyle w:val="Prrafodelista"/>
        <w:numPr>
          <w:ilvl w:val="0"/>
          <w:numId w:val="30"/>
        </w:numPr>
        <w:tabs>
          <w:tab w:val="left" w:pos="0"/>
        </w:tabs>
        <w:spacing w:before="240" w:after="0" w:line="240" w:lineRule="auto"/>
        <w:contextualSpacing w:val="0"/>
      </w:pPr>
      <w:r w:rsidRPr="00647B74">
        <w:rPr>
          <w:b/>
        </w:rPr>
        <w:t>Fase 1:</w:t>
      </w:r>
      <w:r w:rsidRPr="00647B74">
        <w:t xml:space="preserve"> Falla y desvinculación línea doble circuito Quillota-Polpaico 220 kV</w:t>
      </w:r>
      <w:r w:rsidR="00271B16" w:rsidRPr="00647B74">
        <w:t>.</w:t>
      </w:r>
    </w:p>
    <w:p w14:paraId="78195667" w14:textId="77777777" w:rsidR="00944437" w:rsidRPr="00647B74" w:rsidRDefault="00944437" w:rsidP="00944437">
      <w:pPr>
        <w:pStyle w:val="Prrafodelista"/>
        <w:numPr>
          <w:ilvl w:val="1"/>
          <w:numId w:val="31"/>
        </w:numPr>
        <w:tabs>
          <w:tab w:val="left" w:pos="0"/>
        </w:tabs>
        <w:spacing w:before="240" w:after="0" w:line="240" w:lineRule="auto"/>
        <w:contextualSpacing w:val="0"/>
      </w:pPr>
      <w:r w:rsidRPr="00647B74">
        <w:t xml:space="preserve">EDAG de las centrales que inyectan en S/E San Luis para reducir la transferencia post contingencia por la línea Quillota- Nogales 220 kV. </w:t>
      </w:r>
    </w:p>
    <w:p w14:paraId="7F149318" w14:textId="77777777" w:rsidR="00944437" w:rsidRPr="00647B74" w:rsidRDefault="00944437" w:rsidP="00944437">
      <w:pPr>
        <w:pStyle w:val="Prrafodelista"/>
        <w:numPr>
          <w:ilvl w:val="1"/>
          <w:numId w:val="31"/>
        </w:numPr>
        <w:tabs>
          <w:tab w:val="left" w:pos="0"/>
        </w:tabs>
        <w:spacing w:before="240" w:after="0" w:line="240" w:lineRule="auto"/>
        <w:contextualSpacing w:val="0"/>
      </w:pPr>
      <w:r w:rsidRPr="00647B74">
        <w:t>Modificaciones a los PSS de las unidades de la Central Guacolda, para una adecuada estabilización del sistema.</w:t>
      </w:r>
    </w:p>
    <w:p w14:paraId="535BEC4A" w14:textId="77777777" w:rsidR="00944437" w:rsidRPr="00647B74" w:rsidRDefault="00944437" w:rsidP="00944437">
      <w:pPr>
        <w:pStyle w:val="Prrafodelista"/>
        <w:numPr>
          <w:ilvl w:val="0"/>
          <w:numId w:val="30"/>
        </w:numPr>
        <w:tabs>
          <w:tab w:val="left" w:pos="0"/>
        </w:tabs>
        <w:spacing w:before="240" w:after="0" w:line="240" w:lineRule="auto"/>
        <w:contextualSpacing w:val="0"/>
        <w:rPr>
          <w:rFonts w:asciiTheme="minorHAnsi" w:hAnsiTheme="minorHAnsi" w:cstheme="minorHAnsi"/>
        </w:rPr>
      </w:pPr>
      <w:r w:rsidRPr="00647B74">
        <w:rPr>
          <w:b/>
        </w:rPr>
        <w:t>Fase 3:</w:t>
      </w:r>
      <w:r w:rsidRPr="00647B74">
        <w:t xml:space="preserve"> Falla y desvinculación doble circuito San Luis - Quillota 220 kV</w:t>
      </w:r>
      <w:r w:rsidR="009206A5" w:rsidRPr="00647B74">
        <w:t>.</w:t>
      </w:r>
      <w:r w:rsidRPr="00647B74">
        <w:rPr>
          <w:rFonts w:asciiTheme="minorHAnsi" w:hAnsiTheme="minorHAnsi" w:cstheme="minorHAnsi"/>
        </w:rPr>
        <w:t xml:space="preserve"> </w:t>
      </w:r>
    </w:p>
    <w:p w14:paraId="0884B45E" w14:textId="77777777" w:rsidR="00944437" w:rsidRPr="00647B74" w:rsidRDefault="00944437" w:rsidP="00944437">
      <w:pPr>
        <w:pStyle w:val="Prrafodelista"/>
        <w:numPr>
          <w:ilvl w:val="1"/>
          <w:numId w:val="32"/>
        </w:numPr>
        <w:tabs>
          <w:tab w:val="left" w:pos="0"/>
        </w:tabs>
        <w:spacing w:before="240" w:after="0" w:line="240" w:lineRule="auto"/>
        <w:contextualSpacing w:val="0"/>
      </w:pPr>
      <w:r w:rsidRPr="00647B74">
        <w:t xml:space="preserve">Esquema automático de desconexión de la línea 2x220 kV San Luis – Agua Santa, lo que permite evitar sobrecargas en el sistema de 110 kV de la Quinta región costa (Chilquinta). </w:t>
      </w:r>
    </w:p>
    <w:p w14:paraId="660839B0" w14:textId="10E4C25B" w:rsidR="00944437" w:rsidRPr="00647B74" w:rsidRDefault="00944437" w:rsidP="00944437">
      <w:pPr>
        <w:pStyle w:val="Prrafodelista"/>
        <w:numPr>
          <w:ilvl w:val="1"/>
          <w:numId w:val="32"/>
        </w:numPr>
        <w:tabs>
          <w:tab w:val="left" w:pos="0"/>
        </w:tabs>
        <w:spacing w:before="240" w:after="0" w:line="240" w:lineRule="auto"/>
        <w:contextualSpacing w:val="0"/>
      </w:pPr>
      <w:r w:rsidRPr="00647B74">
        <w:t>Modificación de ajustes de protecciones en líneas de 110</w:t>
      </w:r>
      <w:r w:rsidR="00B07995" w:rsidRPr="00647B74">
        <w:t xml:space="preserve"> </w:t>
      </w:r>
      <w:r w:rsidRPr="00647B74">
        <w:t>kV del sistema mencionado.</w:t>
      </w:r>
    </w:p>
    <w:p w14:paraId="6499EFF9" w14:textId="77777777" w:rsidR="00944437" w:rsidRPr="00647B74" w:rsidRDefault="00944437" w:rsidP="00944437">
      <w:pPr>
        <w:pStyle w:val="Prrafodelista"/>
        <w:numPr>
          <w:ilvl w:val="1"/>
          <w:numId w:val="32"/>
        </w:numPr>
        <w:tabs>
          <w:tab w:val="left" w:pos="0"/>
        </w:tabs>
        <w:spacing w:before="240" w:after="0" w:line="240" w:lineRule="auto"/>
        <w:contextualSpacing w:val="0"/>
      </w:pPr>
      <w:r w:rsidRPr="00647B74">
        <w:t>EDACxCEx (</w:t>
      </w:r>
      <w:r w:rsidRPr="00647B74">
        <w:rPr>
          <w:rFonts w:cs="Calibri"/>
        </w:rPr>
        <w:t>Δ</w:t>
      </w:r>
      <w:r w:rsidRPr="00647B74">
        <w:t>f/</w:t>
      </w:r>
      <w:r w:rsidRPr="00647B74">
        <w:rPr>
          <w:rFonts w:cs="Calibri"/>
        </w:rPr>
        <w:t>Δ</w:t>
      </w:r>
      <w:r w:rsidRPr="00647B74">
        <w:t xml:space="preserve">t) para compensar el déficit de potencia originado por la desconexión de las centrales que inyectan en San Luis. Este corresponde al mismo esquema implementado en la fase 2 del PDCE que se complementa con el EDAC BF vigente. </w:t>
      </w:r>
    </w:p>
    <w:p w14:paraId="009817E6" w14:textId="77777777" w:rsidR="00944437" w:rsidRPr="00AE3EB2" w:rsidRDefault="00530D51" w:rsidP="00944437">
      <w:r>
        <w:t>Cabe mencionar que l</w:t>
      </w:r>
      <w:r w:rsidR="0068603F">
        <w:t xml:space="preserve">a antigua Fase 2, cuyo alcance consideraba la </w:t>
      </w:r>
      <w:r w:rsidR="0068603F" w:rsidRPr="00647B74">
        <w:t xml:space="preserve">Falla y desvinculación </w:t>
      </w:r>
      <w:r w:rsidR="0068603F">
        <w:t xml:space="preserve">del </w:t>
      </w:r>
      <w:r w:rsidR="0068603F" w:rsidRPr="00647B74">
        <w:t>sistema de transmisión Charrúa - Ancoa 500 kV</w:t>
      </w:r>
      <w:r w:rsidR="0068603F">
        <w:t xml:space="preserve"> se encuentra actualmente deshabilitada.</w:t>
      </w:r>
      <w:r w:rsidR="0068603F" w:rsidRPr="00647B74">
        <w:t xml:space="preserve"> </w:t>
      </w:r>
      <w:r w:rsidR="0068603F">
        <w:t>Por otro lado, y como parte de la Fase 3, s</w:t>
      </w:r>
      <w:r w:rsidR="00944437" w:rsidRPr="00647B74">
        <w:t xml:space="preserve">e </w:t>
      </w:r>
      <w:r w:rsidR="009206A5" w:rsidRPr="00647B74">
        <w:t xml:space="preserve">encuentra </w:t>
      </w:r>
      <w:r w:rsidR="00FB1777">
        <w:t>pendiente</w:t>
      </w:r>
      <w:r w:rsidR="00944437" w:rsidRPr="00647B74">
        <w:t xml:space="preserve"> </w:t>
      </w:r>
      <w:r w:rsidR="00FC2546" w:rsidRPr="00647B74">
        <w:t>el desarrollo de ensayos</w:t>
      </w:r>
      <w:r w:rsidR="00944437" w:rsidRPr="00647B74">
        <w:t xml:space="preserve"> por parte de</w:t>
      </w:r>
      <w:r w:rsidR="009206A5" w:rsidRPr="00647B74">
        <w:t>l Coordinado Cemento Polpaico,</w:t>
      </w:r>
      <w:r w:rsidR="00944437" w:rsidRPr="00647B74">
        <w:t xml:space="preserve"> sin que ello afecte el funcionamiento de</w:t>
      </w:r>
      <w:r w:rsidR="0068603F">
        <w:t xml:space="preserve"> ese</w:t>
      </w:r>
      <w:r w:rsidR="00944437" w:rsidRPr="00647B74">
        <w:t xml:space="preserve"> esquema</w:t>
      </w:r>
      <w:r w:rsidR="009206A5" w:rsidRPr="00647B74">
        <w:t>, con el siguiente detalle:</w:t>
      </w:r>
    </w:p>
    <w:p w14:paraId="65D9905E" w14:textId="77777777" w:rsidR="00944437" w:rsidRPr="00AE3EB2" w:rsidRDefault="00944437" w:rsidP="002D5035">
      <w:pPr>
        <w:pStyle w:val="Prrafodelista"/>
        <w:numPr>
          <w:ilvl w:val="0"/>
          <w:numId w:val="34"/>
        </w:numPr>
        <w:tabs>
          <w:tab w:val="left" w:pos="0"/>
        </w:tabs>
        <w:spacing w:before="240" w:after="0" w:line="240" w:lineRule="auto"/>
        <w:ind w:left="426" w:hanging="426"/>
        <w:contextualSpacing w:val="0"/>
        <w:rPr>
          <w:lang w:eastAsia="es-CL"/>
        </w:rPr>
      </w:pPr>
      <w:r w:rsidRPr="00AE3EB2">
        <w:rPr>
          <w:b/>
          <w:lang w:eastAsia="es-CL"/>
        </w:rPr>
        <w:t>CEMENTO POLPAICO</w:t>
      </w:r>
      <w:r w:rsidRPr="00AE3EB2">
        <w:rPr>
          <w:lang w:eastAsia="es-CL"/>
        </w:rPr>
        <w:t>: Avance 9</w:t>
      </w:r>
      <w:r w:rsidR="004B7A7B">
        <w:rPr>
          <w:lang w:eastAsia="es-CL"/>
        </w:rPr>
        <w:t>9</w:t>
      </w:r>
      <w:r w:rsidR="009206A5" w:rsidRPr="00AE3EB2">
        <w:rPr>
          <w:lang w:eastAsia="es-CL"/>
        </w:rPr>
        <w:t>,0</w:t>
      </w:r>
      <w:r w:rsidRPr="00AE3EB2">
        <w:rPr>
          <w:lang w:eastAsia="es-CL"/>
        </w:rPr>
        <w:t>%.</w:t>
      </w:r>
    </w:p>
    <w:p w14:paraId="668460BB" w14:textId="77777777" w:rsidR="00FD7DC2" w:rsidRPr="00AE3EB2" w:rsidRDefault="009206A5" w:rsidP="00FD7DC2">
      <w:r w:rsidRPr="00AE3EB2">
        <w:t>Este</w:t>
      </w:r>
      <w:r w:rsidR="00FD7DC2" w:rsidRPr="00AE3EB2">
        <w:t xml:space="preserve"> porcentaje corresponde al avance de las tareas que se indican a continuación: </w:t>
      </w:r>
    </w:p>
    <w:p w14:paraId="7F7FD187" w14:textId="77777777" w:rsidR="00FD7DC2" w:rsidRPr="00AE3EB2" w:rsidRDefault="00823805" w:rsidP="00FD7DC2">
      <w:pPr>
        <w:pStyle w:val="Prrafodelista"/>
        <w:numPr>
          <w:ilvl w:val="0"/>
          <w:numId w:val="33"/>
        </w:numPr>
        <w:tabs>
          <w:tab w:val="left" w:pos="0"/>
        </w:tabs>
        <w:spacing w:before="240" w:after="0" w:line="240" w:lineRule="auto"/>
        <w:contextualSpacing w:val="0"/>
      </w:pPr>
      <w:r w:rsidRPr="00AE3EB2">
        <w:lastRenderedPageBreak/>
        <w:t>Implementación del EDACxCEx.</w:t>
      </w:r>
    </w:p>
    <w:p w14:paraId="659621F3" w14:textId="77777777" w:rsidR="00FD7DC2" w:rsidRPr="00AE3EB2" w:rsidRDefault="00FD7DC2" w:rsidP="00FD7DC2">
      <w:pPr>
        <w:pStyle w:val="Prrafodelista"/>
        <w:numPr>
          <w:ilvl w:val="0"/>
          <w:numId w:val="33"/>
        </w:numPr>
        <w:tabs>
          <w:tab w:val="left" w:pos="0"/>
        </w:tabs>
        <w:spacing w:before="240" w:after="0" w:line="240" w:lineRule="auto"/>
        <w:contextualSpacing w:val="0"/>
      </w:pPr>
      <w:r w:rsidRPr="00AE3EB2">
        <w:t>Integrac</w:t>
      </w:r>
      <w:r w:rsidR="00823805" w:rsidRPr="00AE3EB2">
        <w:t>ión de señales al SCADA del CDC.</w:t>
      </w:r>
    </w:p>
    <w:p w14:paraId="4BA1557F" w14:textId="77777777" w:rsidR="00FD7DC2" w:rsidRPr="00AE3EB2" w:rsidRDefault="00FD7DC2" w:rsidP="00FD7DC2">
      <w:pPr>
        <w:pStyle w:val="Prrafodelista"/>
        <w:numPr>
          <w:ilvl w:val="0"/>
          <w:numId w:val="33"/>
        </w:numPr>
        <w:tabs>
          <w:tab w:val="left" w:pos="0"/>
        </w:tabs>
        <w:spacing w:before="240" w:after="0" w:line="240" w:lineRule="auto"/>
        <w:contextualSpacing w:val="0"/>
        <w:rPr>
          <w:lang w:val="es-CO"/>
        </w:rPr>
      </w:pPr>
      <w:r w:rsidRPr="00AE3EB2">
        <w:t>Puesta en servicio</w:t>
      </w:r>
      <w:r w:rsidR="00823805" w:rsidRPr="00AE3EB2">
        <w:t>.</w:t>
      </w:r>
    </w:p>
    <w:p w14:paraId="0759CA66" w14:textId="77777777" w:rsidR="00944437" w:rsidRPr="00AE3EB2" w:rsidRDefault="00944437" w:rsidP="00944437">
      <w:r w:rsidRPr="00AE3EB2">
        <w:t>El EDACxCEx (</w:t>
      </w:r>
      <w:r w:rsidRPr="00AE3EB2">
        <w:rPr>
          <w:rFonts w:cs="Calibri"/>
        </w:rPr>
        <w:t>Δ</w:t>
      </w:r>
      <w:r w:rsidRPr="00AE3EB2">
        <w:t>f/</w:t>
      </w:r>
      <w:r w:rsidRPr="00AE3EB2">
        <w:rPr>
          <w:rFonts w:cs="Calibri"/>
        </w:rPr>
        <w:t>Δ</w:t>
      </w:r>
      <w:r w:rsidRPr="00AE3EB2">
        <w:t xml:space="preserve">t) implementado </w:t>
      </w:r>
      <w:r w:rsidR="00FF44A2" w:rsidRPr="00AE3EB2">
        <w:t>se en</w:t>
      </w:r>
      <w:r w:rsidR="002A620D" w:rsidRPr="00AE3EB2">
        <w:t>cuentra en servicio faltando verificar</w:t>
      </w:r>
      <w:r w:rsidR="00FF44A2" w:rsidRPr="00AE3EB2">
        <w:t xml:space="preserve"> mediante ensayos el adecuado comportamiento del esquema</w:t>
      </w:r>
      <w:r w:rsidR="00823805" w:rsidRPr="00AE3EB2">
        <w:t xml:space="preserve"> del Coordinado Cemento Polpaico</w:t>
      </w:r>
      <w:r w:rsidR="00FF44A2" w:rsidRPr="00AE3EB2">
        <w:t xml:space="preserve">. Si bien este esquema se encuentra pendiente, los requerimientos mínimos del EDACxCEx se encuentran cubiertos por el resto de los consumos asociados </w:t>
      </w:r>
      <w:r w:rsidR="00823805" w:rsidRPr="00AE3EB2">
        <w:t>cuya totalidad</w:t>
      </w:r>
      <w:r w:rsidR="00FF44A2" w:rsidRPr="00AE3EB2">
        <w:t xml:space="preserve"> se encuentra actualmente en servicio.</w:t>
      </w:r>
    </w:p>
    <w:p w14:paraId="1AB655B1" w14:textId="77777777" w:rsidR="00F5344A" w:rsidRPr="00AE3EB2" w:rsidRDefault="00765604" w:rsidP="00F5344A">
      <w:r w:rsidRPr="00AE3EB2">
        <w:t>El detalle de la información asociada a este punto se encuentra disponible en archivo Anexo.</w:t>
      </w:r>
    </w:p>
    <w:bookmarkEnd w:id="46"/>
    <w:p w14:paraId="60022856" w14:textId="05FA9806" w:rsidR="00F5344A" w:rsidRPr="007D51BD" w:rsidRDefault="00F5344A" w:rsidP="00F5344A"/>
    <w:p w14:paraId="4DD25E8E" w14:textId="77777777" w:rsidR="00944437" w:rsidRPr="00447C0C" w:rsidRDefault="00944437" w:rsidP="00F76D4B"/>
    <w:p w14:paraId="1A825C55" w14:textId="77777777" w:rsidR="003A06F5" w:rsidRPr="009A51E6" w:rsidRDefault="008F3789" w:rsidP="003A06F5">
      <w:pPr>
        <w:pStyle w:val="Ttulo2"/>
        <w:rPr>
          <w:color w:val="auto"/>
        </w:rPr>
      </w:pPr>
      <w:bookmarkStart w:id="47" w:name="_Toc415240032"/>
      <w:bookmarkStart w:id="48" w:name="_Toc446506925"/>
      <w:bookmarkStart w:id="49" w:name="_Toc447127745"/>
      <w:bookmarkStart w:id="50" w:name="_Toc34319839"/>
      <w:bookmarkStart w:id="51" w:name="_Hlk1488707"/>
      <w:r w:rsidRPr="009A51E6">
        <w:rPr>
          <w:caps w:val="0"/>
          <w:color w:val="auto"/>
        </w:rPr>
        <w:lastRenderedPageBreak/>
        <w:t>COMPENSACIÓN REACTIVA</w:t>
      </w:r>
      <w:bookmarkEnd w:id="47"/>
      <w:bookmarkEnd w:id="48"/>
      <w:bookmarkEnd w:id="49"/>
      <w:bookmarkEnd w:id="50"/>
    </w:p>
    <w:p w14:paraId="161CEE31" w14:textId="533C1324" w:rsidR="00FD7DC2" w:rsidRDefault="009A51E6" w:rsidP="00FD7DC2">
      <w:pPr>
        <w:rPr>
          <w:rFonts w:eastAsia="Calibri" w:cs="Calibri"/>
          <w:szCs w:val="20"/>
          <w:lang w:eastAsia="es-CL"/>
        </w:rPr>
      </w:pPr>
      <w:r w:rsidRPr="009A51E6">
        <w:t xml:space="preserve">De acuerdo al Artículo </w:t>
      </w:r>
      <w:r w:rsidRPr="005B7C79">
        <w:t>3-22</w:t>
      </w:r>
      <w:r w:rsidRPr="009A51E6">
        <w:t xml:space="preserve"> de la NTSyCS "Los equipamientos de potencia reactiva, y su respectiva ubicación, que se requieran para la operación del ST se determinarán en los Estudios y Procedimientos que al respecto incluya el Reglamento de Servicios Complementarios".</w:t>
      </w:r>
    </w:p>
    <w:p w14:paraId="6EEA81F3" w14:textId="77777777" w:rsidR="0011643E" w:rsidRPr="00403C27" w:rsidRDefault="0011643E" w:rsidP="00FD7DC2"/>
    <w:bookmarkEnd w:id="51"/>
    <w:p w14:paraId="3588314D" w14:textId="21D1C9BD" w:rsidR="00F76D4B" w:rsidRPr="00944E5B" w:rsidRDefault="00F76D4B" w:rsidP="00F76D4B">
      <w:pPr>
        <w:rPr>
          <w:color w:val="007DB1" w:themeColor="background1"/>
        </w:rPr>
      </w:pPr>
    </w:p>
    <w:p w14:paraId="44D831B6" w14:textId="77777777" w:rsidR="00F76D4B" w:rsidRPr="00403C27" w:rsidRDefault="008F3789" w:rsidP="003A06F5">
      <w:pPr>
        <w:pStyle w:val="Ttulo2"/>
        <w:rPr>
          <w:caps w:val="0"/>
          <w:color w:val="auto"/>
        </w:rPr>
      </w:pPr>
      <w:bookmarkStart w:id="52" w:name="_Toc415240033"/>
      <w:bookmarkStart w:id="53" w:name="_Toc446506926"/>
      <w:bookmarkStart w:id="54" w:name="_Toc447127746"/>
      <w:bookmarkStart w:id="55" w:name="_Toc34319840"/>
      <w:r w:rsidRPr="00403C27">
        <w:rPr>
          <w:caps w:val="0"/>
          <w:color w:val="auto"/>
        </w:rPr>
        <w:lastRenderedPageBreak/>
        <w:t>INDISPONIBILIDAD PROGRAMADA Y FORZADA</w:t>
      </w:r>
      <w:bookmarkEnd w:id="52"/>
      <w:bookmarkEnd w:id="53"/>
      <w:bookmarkEnd w:id="54"/>
      <w:bookmarkEnd w:id="55"/>
    </w:p>
    <w:p w14:paraId="34F7EBAF" w14:textId="77777777" w:rsidR="006902CB" w:rsidRPr="00403C27" w:rsidRDefault="006902CB" w:rsidP="006902CB">
      <w:r w:rsidRPr="00403C27">
        <w:t xml:space="preserve">Para efectos de cuantificar la Calidad de Suministro en instalaciones de generación y transmisión, </w:t>
      </w:r>
      <w:r w:rsidR="00D536D4" w:rsidRPr="00403C27">
        <w:t>el Coordinador</w:t>
      </w:r>
      <w:r w:rsidR="00A775E0" w:rsidRPr="00403C27">
        <w:t xml:space="preserve"> </w:t>
      </w:r>
      <w:r w:rsidR="00D536D4" w:rsidRPr="00403C27">
        <w:t xml:space="preserve">efectúa </w:t>
      </w:r>
      <w:r w:rsidR="00A775E0" w:rsidRPr="00403C27">
        <w:t>el cálculo de</w:t>
      </w:r>
      <w:r w:rsidRPr="00403C27">
        <w:t xml:space="preserve"> los índices de indisponibilidad forzada y programada en unidades de generación, transformadores de poder, líneas de transmisión y equipos de compensación. La metodología de cálculo de los índices se realiza de acuerdo a</w:t>
      </w:r>
      <w:r w:rsidR="00A775E0" w:rsidRPr="00403C27">
        <w:t xml:space="preserve"> </w:t>
      </w:r>
      <w:r w:rsidRPr="00403C27">
        <w:t>l</w:t>
      </w:r>
      <w:r w:rsidR="00A775E0" w:rsidRPr="00403C27">
        <w:t>o</w:t>
      </w:r>
      <w:r w:rsidRPr="00403C27">
        <w:t xml:space="preserve"> dispuesto en el Título 5-12 de la NTSyCS.</w:t>
      </w:r>
    </w:p>
    <w:p w14:paraId="261966E0" w14:textId="75D1AF62" w:rsidR="00A775E0" w:rsidRPr="00EF69F4" w:rsidRDefault="006902CB" w:rsidP="00A775E0">
      <w:r w:rsidRPr="00EF69F4">
        <w:t xml:space="preserve">La evaluación del cumplimiento indicado </w:t>
      </w:r>
      <w:r w:rsidR="00270D60" w:rsidRPr="00EF69F4">
        <w:t xml:space="preserve">y que se expone en las siguientes gráficas, </w:t>
      </w:r>
      <w:r w:rsidRPr="00EF69F4">
        <w:t>ha sido realizada sobre la base de la información estadística del período enero 201</w:t>
      </w:r>
      <w:r w:rsidR="00690A22">
        <w:t>5</w:t>
      </w:r>
      <w:r w:rsidRPr="00EF69F4">
        <w:t xml:space="preserve"> – diciembre 201</w:t>
      </w:r>
      <w:r w:rsidR="00690A22">
        <w:t>9</w:t>
      </w:r>
      <w:r w:rsidRPr="00EF69F4">
        <w:t>.</w:t>
      </w:r>
      <w:r w:rsidR="00503623" w:rsidRPr="00EF69F4">
        <w:t xml:space="preserve"> </w:t>
      </w:r>
    </w:p>
    <w:p w14:paraId="378C7219" w14:textId="76458438" w:rsidR="00A775E0" w:rsidRPr="00EF69F4" w:rsidRDefault="00270D60" w:rsidP="00A775E0">
      <w:r w:rsidRPr="00EF69F4">
        <w:t xml:space="preserve">Similar al tratamiento efectuado en </w:t>
      </w:r>
      <w:r w:rsidR="00690A22">
        <w:t>ocasiones anteriores</w:t>
      </w:r>
      <w:r w:rsidRPr="00EF69F4">
        <w:t xml:space="preserve"> </w:t>
      </w:r>
      <w:r w:rsidR="00503623" w:rsidRPr="00EF69F4">
        <w:t>para el año 201</w:t>
      </w:r>
      <w:r w:rsidR="00690A22">
        <w:t>9</w:t>
      </w:r>
      <w:r w:rsidR="00503623" w:rsidRPr="00EF69F4">
        <w:t xml:space="preserve"> no se consideraron instalaciones con menos de 5 años de historia desde su puesta en servicio</w:t>
      </w:r>
      <w:r w:rsidR="00A775E0" w:rsidRPr="00EF69F4">
        <w:t xml:space="preserve">, ni equipos conectados a niveles de tensión </w:t>
      </w:r>
      <w:r w:rsidRPr="00EF69F4">
        <w:t>inferiores</w:t>
      </w:r>
      <w:r w:rsidR="00A775E0" w:rsidRPr="00EF69F4">
        <w:t xml:space="preserve"> a 23 kV</w:t>
      </w:r>
      <w:r w:rsidRPr="00EF69F4">
        <w:t>.</w:t>
      </w:r>
    </w:p>
    <w:p w14:paraId="2201F0F1" w14:textId="541D3338" w:rsidR="006902CB" w:rsidRPr="00EF69F4" w:rsidRDefault="006902CB" w:rsidP="006902CB">
      <w:r w:rsidRPr="00EF69F4">
        <w:t xml:space="preserve">De acuerdo a lo indicado en el </w:t>
      </w:r>
      <w:r w:rsidRPr="00F95211">
        <w:t>artículo 5-</w:t>
      </w:r>
      <w:r w:rsidR="00690A22" w:rsidRPr="00F95211">
        <w:t>5</w:t>
      </w:r>
      <w:r w:rsidR="00E7530E" w:rsidRPr="00F95211">
        <w:t>3</w:t>
      </w:r>
      <w:r w:rsidR="005967A1">
        <w:t>,</w:t>
      </w:r>
      <w:r w:rsidRPr="00F95211">
        <w:t xml:space="preserve"> </w:t>
      </w:r>
      <w:r w:rsidR="005B7C79" w:rsidRPr="00F95211">
        <w:t>5-54</w:t>
      </w:r>
      <w:r w:rsidR="00F95211">
        <w:t xml:space="preserve"> y </w:t>
      </w:r>
      <w:r w:rsidR="005B7C79" w:rsidRPr="00F95211">
        <w:t xml:space="preserve">5-55 y </w:t>
      </w:r>
      <w:r w:rsidRPr="00F95211">
        <w:t>de la</w:t>
      </w:r>
      <w:r w:rsidRPr="00EF69F4">
        <w:t xml:space="preserve"> NTSyCS, el cálculo de los índices de indisponibilidades de Generación-Transmisión se realiza mensualmente y </w:t>
      </w:r>
      <w:r w:rsidR="00270D60" w:rsidRPr="00EF69F4">
        <w:t>sus resultados</w:t>
      </w:r>
      <w:r w:rsidRPr="00EF69F4">
        <w:t xml:space="preserve"> quedan a disposición de </w:t>
      </w:r>
      <w:r w:rsidR="00270D60" w:rsidRPr="00EF69F4">
        <w:t>los interesados en el</w:t>
      </w:r>
      <w:r w:rsidRPr="00EF69F4">
        <w:t xml:space="preserve"> sitio web del Coordinador Eléctrico. El cálculo considera las instalaciones, sus propietarios y topología e</w:t>
      </w:r>
      <w:r w:rsidR="00503623" w:rsidRPr="00EF69F4">
        <w:t xml:space="preserve">xistentes al </w:t>
      </w:r>
      <w:r w:rsidR="00690A22">
        <w:t>31</w:t>
      </w:r>
      <w:r w:rsidR="00503623" w:rsidRPr="00EF69F4">
        <w:t xml:space="preserve"> de </w:t>
      </w:r>
      <w:r w:rsidR="00690A22">
        <w:t>diciembre de</w:t>
      </w:r>
      <w:r w:rsidR="00503623" w:rsidRPr="00EF69F4">
        <w:t xml:space="preserve"> 201</w:t>
      </w:r>
      <w:r w:rsidR="00EF69F4" w:rsidRPr="00EF69F4">
        <w:t>9</w:t>
      </w:r>
      <w:r w:rsidR="00503623" w:rsidRPr="00EF69F4">
        <w:t>.</w:t>
      </w:r>
    </w:p>
    <w:p w14:paraId="3F850872" w14:textId="77777777" w:rsidR="00C80501" w:rsidRPr="00403C27" w:rsidRDefault="00C80501" w:rsidP="00C80501">
      <w:pPr>
        <w:pStyle w:val="Ttulo3"/>
      </w:pPr>
      <w:bookmarkStart w:id="56" w:name="_Toc34319841"/>
      <w:r w:rsidRPr="00403C27">
        <w:t>RESUMEN DE GENERACIÓN</w:t>
      </w:r>
      <w:bookmarkEnd w:id="56"/>
    </w:p>
    <w:p w14:paraId="6DA1CE69" w14:textId="4CCEFCAB" w:rsidR="007B2B3F" w:rsidRPr="00403C27" w:rsidRDefault="00A775E0" w:rsidP="007B2B3F">
      <w:r w:rsidRPr="00403C27">
        <w:t>D</w:t>
      </w:r>
      <w:r w:rsidR="007B2B3F" w:rsidRPr="00403C27">
        <w:t>e acuerdo al artículo 5-5</w:t>
      </w:r>
      <w:r w:rsidR="00690A22">
        <w:t>4</w:t>
      </w:r>
      <w:r w:rsidR="007B2B3F" w:rsidRPr="00403C27">
        <w:t xml:space="preserve"> de la NTSyCS se tiene</w:t>
      </w:r>
      <w:r w:rsidRPr="00403C27">
        <w:t xml:space="preserve"> la siguiente definición de índices para unidades o parques generadores</w:t>
      </w:r>
      <w:r w:rsidR="007B2B3F" w:rsidRPr="00403C27">
        <w:t>:</w:t>
      </w:r>
    </w:p>
    <w:p w14:paraId="7378798B" w14:textId="1B6198B5" w:rsidR="007B2B3F" w:rsidRPr="00403C27" w:rsidRDefault="007B2B3F" w:rsidP="007B2B3F">
      <w:pPr>
        <w:ind w:left="993" w:hanging="993"/>
      </w:pPr>
      <w:r w:rsidRPr="00403C27">
        <w:rPr>
          <w:b/>
        </w:rPr>
        <w:t>HPROg:</w:t>
      </w:r>
      <w:r w:rsidRPr="00403C27">
        <w:rPr>
          <w:b/>
        </w:rPr>
        <w:tab/>
      </w:r>
      <w:r w:rsidR="00435740" w:rsidRPr="00435740">
        <w:t>Límite de horas de desconexión promedio anual de generación por concepto de Indisponibilidad Programada, con una ventana móvil de 60 meses</w:t>
      </w:r>
      <w:r w:rsidR="00435740">
        <w:t>.</w:t>
      </w:r>
    </w:p>
    <w:p w14:paraId="6FDBBCCF" w14:textId="49A0C0F6" w:rsidR="007B2B3F" w:rsidRPr="00403C27" w:rsidRDefault="007B2B3F" w:rsidP="007B2B3F">
      <w:pPr>
        <w:ind w:left="993" w:hanging="993"/>
      </w:pPr>
      <w:r w:rsidRPr="00403C27">
        <w:rPr>
          <w:b/>
        </w:rPr>
        <w:t>HFORg:</w:t>
      </w:r>
      <w:r w:rsidRPr="00403C27">
        <w:rPr>
          <w:b/>
        </w:rPr>
        <w:tab/>
      </w:r>
      <w:r w:rsidR="00435740" w:rsidRPr="00435740">
        <w:t>Límite de horas de desconexión promedio anual de generación por concepto de Indisponibilidad Forzada, con una ventana móvil de 60 meses</w:t>
      </w:r>
      <w:r w:rsidR="00435740">
        <w:t>.</w:t>
      </w:r>
    </w:p>
    <w:p w14:paraId="5BE74004" w14:textId="195710E1" w:rsidR="007B2B3F" w:rsidRPr="00403C27" w:rsidRDefault="007B2B3F" w:rsidP="007B2B3F">
      <w:pPr>
        <w:ind w:left="993" w:hanging="993"/>
      </w:pPr>
      <w:r w:rsidRPr="00403C27">
        <w:rPr>
          <w:b/>
        </w:rPr>
        <w:t>FFORg:</w:t>
      </w:r>
      <w:r w:rsidRPr="00403C27">
        <w:tab/>
      </w:r>
      <w:r w:rsidR="00435740" w:rsidRPr="00435740">
        <w:t>Límite de frecuencia de desconexiones promedio anual de generación por concepto de Indisponibilidad Forzada, con una ventana móvil de 60 meses</w:t>
      </w:r>
      <w:r w:rsidR="00435740">
        <w:t>.</w:t>
      </w:r>
    </w:p>
    <w:p w14:paraId="518FCC2B" w14:textId="4C3E34FC" w:rsidR="00643A30" w:rsidRPr="00D954BA" w:rsidRDefault="00643A30" w:rsidP="00643A30">
      <w:r w:rsidRPr="00D954BA">
        <w:lastRenderedPageBreak/>
        <w:t xml:space="preserve">Sobre un universo de </w:t>
      </w:r>
      <w:r w:rsidR="00313C3F">
        <w:t>540</w:t>
      </w:r>
      <w:r w:rsidRPr="00D954BA">
        <w:t xml:space="preserve"> unidades generadoras, </w:t>
      </w:r>
      <w:r w:rsidR="00313C3F">
        <w:t xml:space="preserve">de las cuales 431 disponen de </w:t>
      </w:r>
      <w:r w:rsidR="00413967">
        <w:t xml:space="preserve">5 o más años de antigüedad para efectos de cálculo, </w:t>
      </w:r>
      <w:r w:rsidRPr="00D954BA">
        <w:t>se presentan a continuación las estadísticas asociadas a estos indicadores</w:t>
      </w:r>
      <w:r w:rsidR="001A5642">
        <w:t>.</w:t>
      </w:r>
    </w:p>
    <w:p w14:paraId="14986AFC" w14:textId="2A07E890" w:rsidR="00643A30" w:rsidRPr="00944E5B" w:rsidRDefault="0036786B" w:rsidP="00643A30">
      <w:pPr>
        <w:jc w:val="center"/>
        <w:rPr>
          <w:color w:val="007DB1" w:themeColor="background1"/>
        </w:rPr>
      </w:pPr>
      <w:r>
        <w:rPr>
          <w:noProof/>
        </w:rPr>
        <w:drawing>
          <wp:inline distT="0" distB="0" distL="0" distR="0" wp14:anchorId="0C71A5D2" wp14:editId="7EF32408">
            <wp:extent cx="5151755" cy="2505710"/>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51755" cy="2505710"/>
                    </a:xfrm>
                    <a:prstGeom prst="rect">
                      <a:avLst/>
                    </a:prstGeom>
                    <a:noFill/>
                  </pic:spPr>
                </pic:pic>
              </a:graphicData>
            </a:graphic>
          </wp:inline>
        </w:drawing>
      </w:r>
    </w:p>
    <w:p w14:paraId="364D0576" w14:textId="04B8364D" w:rsidR="00C80501" w:rsidRPr="005967A1" w:rsidRDefault="00017B7D" w:rsidP="00C80501">
      <w:pPr>
        <w:pStyle w:val="Descripcin"/>
        <w:keepNext/>
        <w:rPr>
          <w:color w:val="007DB1" w:themeColor="background1"/>
        </w:rPr>
      </w:pPr>
      <w:r w:rsidRPr="005967A1">
        <w:t>Figura 7:</w:t>
      </w:r>
      <w:r w:rsidR="00C80501" w:rsidRPr="005967A1">
        <w:t xml:space="preserve"> Cumplimiento de índices de generación.</w:t>
      </w:r>
    </w:p>
    <w:p w14:paraId="01248626" w14:textId="2475BE95" w:rsidR="005967A1" w:rsidRDefault="005967A1" w:rsidP="005967A1">
      <w:r w:rsidRPr="005967A1">
        <w:t xml:space="preserve">Para el caso del Índice </w:t>
      </w:r>
      <w:r w:rsidRPr="005967A1">
        <w:rPr>
          <w:u w:val="single"/>
        </w:rPr>
        <w:t>Hprog</w:t>
      </w:r>
      <w:r w:rsidRPr="005967A1">
        <w:t xml:space="preserve">, los mayores incumplimientos lo registran las unidades diésel Iquique MSIQ y SUIQ1 y las Unidades diésel </w:t>
      </w:r>
      <w:r>
        <w:t>M</w:t>
      </w:r>
      <w:r w:rsidRPr="005967A1">
        <w:t xml:space="preserve">antos Blancos MIMB1 y MIMB10 ambos con diferencias del orden del 2.822% respecto del estándar exigido (300 como estándar versus un valor calculado de 8.765) . Por otro lado, próximo a cumplir el estándar se encuentra la unidad </w:t>
      </w:r>
      <w:bookmarkStart w:id="57" w:name="_Hlk1653892"/>
      <w:r w:rsidRPr="005967A1">
        <w:t>PAS3 de Pozo Almonte Solar</w:t>
      </w:r>
      <w:bookmarkEnd w:id="57"/>
      <w:r w:rsidRPr="005967A1">
        <w:t>, con diferencia del orden del 1,9% respecto del estándar exigido (20 como estándar versus un valor calculado de 20,3).</w:t>
      </w:r>
    </w:p>
    <w:p w14:paraId="7A116FBA" w14:textId="77777777" w:rsidR="005967A1" w:rsidRPr="005967A1" w:rsidRDefault="005967A1" w:rsidP="005967A1">
      <w:pPr>
        <w:rPr>
          <w:u w:val="single"/>
        </w:rPr>
      </w:pPr>
    </w:p>
    <w:p w14:paraId="713B0019" w14:textId="09F821C4" w:rsidR="005967A1" w:rsidRDefault="005967A1" w:rsidP="005967A1">
      <w:r w:rsidRPr="005967A1">
        <w:t xml:space="preserve">Para el caso del Índice </w:t>
      </w:r>
      <w:r w:rsidRPr="005967A1">
        <w:rPr>
          <w:u w:val="single"/>
        </w:rPr>
        <w:t>Hforg</w:t>
      </w:r>
      <w:r w:rsidRPr="005967A1">
        <w:t>, el mayor incumplimiento lo registra la unidad Solar San Andrés con diferencia del orden del 19.527% respecto del estándar exigido (10 como estándar versus un valor calculado de 1.962,6). Por otro lado, próximo a cumplir el estándar se encuentra la unidad Parque Eólico Buenos Aires, con una diferencia del orden del 1,3% respecto del estándar exigido (10 como estándar versus un valor calculado de 10,3).</w:t>
      </w:r>
    </w:p>
    <w:p w14:paraId="0F3424F6" w14:textId="77777777" w:rsidR="005967A1" w:rsidRPr="005967A1" w:rsidRDefault="005967A1" w:rsidP="005967A1"/>
    <w:p w14:paraId="7F7FA3EF" w14:textId="77777777" w:rsidR="005967A1" w:rsidRPr="00944E5B" w:rsidRDefault="005967A1" w:rsidP="005967A1">
      <w:pPr>
        <w:rPr>
          <w:color w:val="007DB1" w:themeColor="background1"/>
        </w:rPr>
      </w:pPr>
      <w:r w:rsidRPr="005967A1">
        <w:lastRenderedPageBreak/>
        <w:t xml:space="preserve">Finalmente, para el caso del Índice </w:t>
      </w:r>
      <w:r w:rsidRPr="005967A1">
        <w:rPr>
          <w:u w:val="single"/>
        </w:rPr>
        <w:t>Fforg</w:t>
      </w:r>
      <w:r w:rsidRPr="005967A1">
        <w:t>, el mayor incumplimiento lo registra la unidad Eólico San Pedro II, con diferencia del orden del 2.610% respecto del estándar exigido (4,0 como estándar versus un valor calculado de 108,3).</w:t>
      </w:r>
      <w:r w:rsidRPr="005967A1">
        <w:rPr>
          <w:color w:val="007DB1" w:themeColor="background1"/>
        </w:rPr>
        <w:t xml:space="preserve"> </w:t>
      </w:r>
      <w:r w:rsidRPr="005967A1">
        <w:t>Por otro lado, próximo a cumplir el estándar se encuentra la unidad Celulosa Santa Fe 1, con una diferencia del orden del 0,5% respecto del estándar exigido (4,0 como estándar versus un valor calculado de 4,01).</w:t>
      </w:r>
    </w:p>
    <w:p w14:paraId="6D68ADD9" w14:textId="27858EE1" w:rsidR="00C80501" w:rsidRPr="00403C27" w:rsidRDefault="00C80501" w:rsidP="00C80501">
      <w:pPr>
        <w:pStyle w:val="Ttulo3"/>
      </w:pPr>
      <w:bookmarkStart w:id="58" w:name="_Toc34319842"/>
      <w:r w:rsidRPr="00403C27">
        <w:t>RESUMEN DE TRANSMISIÓN</w:t>
      </w:r>
      <w:bookmarkEnd w:id="58"/>
    </w:p>
    <w:p w14:paraId="63E24A07" w14:textId="22DDC97F" w:rsidR="00C80501" w:rsidRPr="00403C27" w:rsidRDefault="00C80501" w:rsidP="00C80501">
      <w:r w:rsidRPr="00403C27">
        <w:t>En instalaciones de transmisión para circuitos de líneas de hasta 300 [km] de longitud, transformadores, equipos serie y compensación, se tienen las siguientes definiciones de acuerdo al artículo 5-</w:t>
      </w:r>
      <w:r w:rsidR="00D766AC">
        <w:t>55</w:t>
      </w:r>
      <w:r w:rsidRPr="00403C27">
        <w:t xml:space="preserve"> de la NTSyCS:</w:t>
      </w:r>
    </w:p>
    <w:p w14:paraId="7B3ED378" w14:textId="7F579DD6" w:rsidR="00C80501" w:rsidRPr="00403C27" w:rsidRDefault="00C80501" w:rsidP="00C80501">
      <w:pPr>
        <w:ind w:left="993" w:hanging="993"/>
        <w:rPr>
          <w:b/>
        </w:rPr>
      </w:pPr>
      <w:r w:rsidRPr="00403C27">
        <w:rPr>
          <w:b/>
        </w:rPr>
        <w:t>HPROt:</w:t>
      </w:r>
      <w:r w:rsidRPr="00403C27">
        <w:rPr>
          <w:b/>
        </w:rPr>
        <w:tab/>
      </w:r>
      <w:r w:rsidR="00D766AC" w:rsidRPr="00D766AC">
        <w:t>Límite de horas de desconexión promedio anual de transmisión por concepto de Indisponibilidad Programada, con una ventana móvil de 60 meses. En caso de líneas, el valor corresponde por cada 100 [km] de circuito de línea.</w:t>
      </w:r>
    </w:p>
    <w:p w14:paraId="34439622" w14:textId="7F34E242" w:rsidR="00C80501" w:rsidRPr="00403C27" w:rsidRDefault="00C80501" w:rsidP="00C80501">
      <w:pPr>
        <w:ind w:left="993" w:hanging="993"/>
        <w:rPr>
          <w:b/>
        </w:rPr>
      </w:pPr>
      <w:r w:rsidRPr="00403C27">
        <w:rPr>
          <w:b/>
        </w:rPr>
        <w:t xml:space="preserve">HFORt: </w:t>
      </w:r>
      <w:r w:rsidRPr="00403C27">
        <w:rPr>
          <w:b/>
        </w:rPr>
        <w:tab/>
      </w:r>
      <w:r w:rsidR="00D766AC" w:rsidRPr="00D766AC">
        <w:t>Límite de horas de desconexión promedio anual de transmisión por concepto de Indisponibilidad Forzada, con una ventana móvil de 60 meses. En caso de líneas, el valor corresponde por cada 100 [km] de circuito de línea.</w:t>
      </w:r>
    </w:p>
    <w:p w14:paraId="1FE373CA" w14:textId="51E18E69" w:rsidR="00C80501" w:rsidRPr="00403C27" w:rsidRDefault="00C80501" w:rsidP="00C80501">
      <w:pPr>
        <w:ind w:left="993" w:hanging="993"/>
      </w:pPr>
      <w:r w:rsidRPr="00403C27">
        <w:rPr>
          <w:b/>
        </w:rPr>
        <w:t xml:space="preserve">FFORt: </w:t>
      </w:r>
      <w:r w:rsidRPr="00403C27">
        <w:rPr>
          <w:b/>
        </w:rPr>
        <w:tab/>
      </w:r>
      <w:r w:rsidR="007C471D" w:rsidRPr="007C471D">
        <w:t>Límite de frecuencia de desconexiones promedio anual de transmisión por concepto de Indisponibilidad Forzada, con una ventana móvil de 60 meses. En caso de líneas, el valor corresponde por cada 100 [km] de circuito de línea</w:t>
      </w:r>
      <w:r w:rsidRPr="00403C27">
        <w:t>.</w:t>
      </w:r>
    </w:p>
    <w:p w14:paraId="73DDD343" w14:textId="77777777" w:rsidR="000C4C10" w:rsidRDefault="000C4C10">
      <w:pPr>
        <w:spacing w:before="0" w:after="160" w:line="259" w:lineRule="auto"/>
        <w:jc w:val="left"/>
        <w:rPr>
          <w:rFonts w:ascii="HelveticaNeueLT Std Ext" w:eastAsiaTheme="majorEastAsia" w:hAnsi="HelveticaNeueLT Std Ext" w:cstheme="majorBidi"/>
          <w:caps/>
          <w:sz w:val="20"/>
        </w:rPr>
      </w:pPr>
    </w:p>
    <w:p w14:paraId="1FFEAB1A" w14:textId="77777777" w:rsidR="00C80501" w:rsidRPr="00D525D4" w:rsidRDefault="00C80501" w:rsidP="00C80501">
      <w:pPr>
        <w:pStyle w:val="Ttulo4"/>
      </w:pPr>
      <w:r w:rsidRPr="00D525D4">
        <w:t>Tramos de transmisión</w:t>
      </w:r>
    </w:p>
    <w:p w14:paraId="07F6BE5E" w14:textId="5BB66F8D" w:rsidR="0040690F" w:rsidRPr="00D525D4" w:rsidRDefault="0040690F" w:rsidP="0040690F">
      <w:r w:rsidRPr="00D525D4">
        <w:t>Sobre un universo de 1.</w:t>
      </w:r>
      <w:r w:rsidR="00EC1FCE">
        <w:t>565</w:t>
      </w:r>
      <w:r w:rsidRPr="00D525D4">
        <w:t xml:space="preserve"> tramos</w:t>
      </w:r>
      <w:r w:rsidR="00414523">
        <w:t>, de los cuales 1.437</w:t>
      </w:r>
      <w:r w:rsidR="00081EA7" w:rsidRPr="00D525D4">
        <w:t xml:space="preserve"> </w:t>
      </w:r>
      <w:r w:rsidR="00414523">
        <w:t>disponen de 5 o más años de antigüedad para efectos de cálculo</w:t>
      </w:r>
      <w:r w:rsidR="00414523" w:rsidRPr="00D525D4">
        <w:t xml:space="preserve"> </w:t>
      </w:r>
      <w:r w:rsidR="00414523">
        <w:t>de</w:t>
      </w:r>
      <w:r w:rsidR="00081EA7" w:rsidRPr="00D525D4">
        <w:t xml:space="preserve"> índices</w:t>
      </w:r>
      <w:r w:rsidRPr="00D525D4">
        <w:t>, se presentan a continuación las estadística</w:t>
      </w:r>
      <w:r w:rsidR="00134DCA" w:rsidRPr="00D525D4">
        <w:t>s asociadas a estos indicadores, diferenciando por segmento de pertenencia.</w:t>
      </w:r>
    </w:p>
    <w:p w14:paraId="1FF1DF49" w14:textId="03F5E075" w:rsidR="0040690F" w:rsidRPr="000C4C10" w:rsidRDefault="007B52F2" w:rsidP="0040690F">
      <w:pPr>
        <w:jc w:val="center"/>
      </w:pPr>
      <w:r>
        <w:rPr>
          <w:noProof/>
        </w:rPr>
        <w:drawing>
          <wp:inline distT="0" distB="0" distL="0" distR="0" wp14:anchorId="5B8C98DE" wp14:editId="21D93518">
            <wp:extent cx="3787200" cy="1980000"/>
            <wp:effectExtent l="0" t="0" r="3810" b="1270"/>
            <wp:docPr id="21" name="Imagen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87200" cy="1980000"/>
                    </a:xfrm>
                    <a:prstGeom prst="rect">
                      <a:avLst/>
                    </a:prstGeom>
                    <a:noFill/>
                  </pic:spPr>
                </pic:pic>
              </a:graphicData>
            </a:graphic>
          </wp:inline>
        </w:drawing>
      </w:r>
    </w:p>
    <w:p w14:paraId="1D0FC3C5" w14:textId="77777777" w:rsidR="0040690F" w:rsidRPr="000C4C10" w:rsidRDefault="00B60210" w:rsidP="0040690F">
      <w:pPr>
        <w:pStyle w:val="Descripcin"/>
        <w:keepNext/>
      </w:pPr>
      <w:r w:rsidRPr="000C4C10">
        <w:t xml:space="preserve">Figura 8: </w:t>
      </w:r>
      <w:r w:rsidR="0040690F" w:rsidRPr="000C4C10">
        <w:t xml:space="preserve">Cumplimiento de índices de </w:t>
      </w:r>
      <w:r w:rsidR="004B1871" w:rsidRPr="000C4C10">
        <w:t xml:space="preserve">transmisión </w:t>
      </w:r>
      <w:r w:rsidR="0003168F" w:rsidRPr="000C4C10">
        <w:t>–</w:t>
      </w:r>
      <w:r w:rsidR="004B1871" w:rsidRPr="000C4C10">
        <w:t xml:space="preserve"> tramos</w:t>
      </w:r>
      <w:r w:rsidR="0003168F" w:rsidRPr="000C4C10">
        <w:t xml:space="preserve"> Nacional</w:t>
      </w:r>
    </w:p>
    <w:p w14:paraId="00D624A7" w14:textId="77777777" w:rsidR="0003168F" w:rsidRPr="000C4C10" w:rsidRDefault="0003168F" w:rsidP="0003168F">
      <w:pPr>
        <w:spacing w:before="0" w:after="0" w:line="240" w:lineRule="auto"/>
        <w:rPr>
          <w:sz w:val="6"/>
          <w:szCs w:val="6"/>
        </w:rPr>
      </w:pPr>
    </w:p>
    <w:p w14:paraId="3248C41B" w14:textId="5F520676" w:rsidR="0040690F" w:rsidRPr="000C4C10" w:rsidRDefault="007B52F2" w:rsidP="0003168F">
      <w:pPr>
        <w:jc w:val="center"/>
      </w:pPr>
      <w:r>
        <w:rPr>
          <w:noProof/>
        </w:rPr>
        <w:drawing>
          <wp:inline distT="0" distB="0" distL="0" distR="0" wp14:anchorId="46D3EE1A" wp14:editId="1C236113">
            <wp:extent cx="3790800" cy="1980000"/>
            <wp:effectExtent l="0" t="0" r="635" b="1270"/>
            <wp:docPr id="22" name="Imagen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90800" cy="1980000"/>
                    </a:xfrm>
                    <a:prstGeom prst="rect">
                      <a:avLst/>
                    </a:prstGeom>
                    <a:noFill/>
                  </pic:spPr>
                </pic:pic>
              </a:graphicData>
            </a:graphic>
          </wp:inline>
        </w:drawing>
      </w:r>
    </w:p>
    <w:p w14:paraId="2C980472" w14:textId="77777777" w:rsidR="0003168F" w:rsidRPr="000C4C10" w:rsidRDefault="00B60210" w:rsidP="0003168F">
      <w:pPr>
        <w:pStyle w:val="Descripcin"/>
        <w:keepNext/>
      </w:pPr>
      <w:r w:rsidRPr="000C4C10">
        <w:t>Figura 9</w:t>
      </w:r>
      <w:r w:rsidR="0003168F" w:rsidRPr="000C4C10">
        <w:t>: Cumplimiento de índices de transmisión – tramos Zonal</w:t>
      </w:r>
    </w:p>
    <w:p w14:paraId="5EEF5713" w14:textId="77777777" w:rsidR="0003168F" w:rsidRPr="000C4C10" w:rsidRDefault="0003168F" w:rsidP="0003168F">
      <w:pPr>
        <w:spacing w:before="0" w:after="0" w:line="240" w:lineRule="auto"/>
        <w:rPr>
          <w:sz w:val="6"/>
          <w:szCs w:val="6"/>
        </w:rPr>
      </w:pPr>
    </w:p>
    <w:p w14:paraId="1EEC6B4E" w14:textId="44EB74B9" w:rsidR="0003168F" w:rsidRPr="000C4C10" w:rsidRDefault="007B52F2" w:rsidP="0003168F">
      <w:pPr>
        <w:jc w:val="center"/>
      </w:pPr>
      <w:r>
        <w:rPr>
          <w:noProof/>
        </w:rPr>
        <w:drawing>
          <wp:inline distT="0" distB="0" distL="0" distR="0" wp14:anchorId="6D8B7241" wp14:editId="36696FB0">
            <wp:extent cx="3780000" cy="1980000"/>
            <wp:effectExtent l="0" t="0" r="0" b="1270"/>
            <wp:docPr id="23" name="Imagen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80000" cy="1980000"/>
                    </a:xfrm>
                    <a:prstGeom prst="rect">
                      <a:avLst/>
                    </a:prstGeom>
                    <a:noFill/>
                  </pic:spPr>
                </pic:pic>
              </a:graphicData>
            </a:graphic>
          </wp:inline>
        </w:drawing>
      </w:r>
    </w:p>
    <w:p w14:paraId="6EDD40A3" w14:textId="77777777" w:rsidR="0003168F" w:rsidRPr="000C4C10" w:rsidRDefault="00B60210" w:rsidP="0003168F">
      <w:pPr>
        <w:pStyle w:val="Descripcin"/>
        <w:keepNext/>
      </w:pPr>
      <w:r w:rsidRPr="000C4C10">
        <w:t>Figura 10</w:t>
      </w:r>
      <w:r w:rsidR="0003168F" w:rsidRPr="000C4C10">
        <w:t>: Cumplimiento de índices de transmisión – tramos Dedicado</w:t>
      </w:r>
    </w:p>
    <w:p w14:paraId="39059AFC" w14:textId="77777777" w:rsidR="0003168F" w:rsidRPr="00944E5B" w:rsidRDefault="0003168F" w:rsidP="0040690F">
      <w:pPr>
        <w:rPr>
          <w:color w:val="007DB1" w:themeColor="background1"/>
        </w:rPr>
      </w:pPr>
    </w:p>
    <w:p w14:paraId="4E7FD3A7" w14:textId="3F074E51" w:rsidR="008329B0" w:rsidRPr="00DA7CE8" w:rsidRDefault="00DC4EA9" w:rsidP="00DA7CE8">
      <w:r w:rsidRPr="000F6672">
        <w:t xml:space="preserve">Utilizando el mismo criterio de comparación aplicado anteriormente </w:t>
      </w:r>
      <w:r w:rsidR="00F12983" w:rsidRPr="000F6672">
        <w:t>para el caso</w:t>
      </w:r>
      <w:r w:rsidRPr="000F6672">
        <w:t xml:space="preserve"> generación, e</w:t>
      </w:r>
      <w:r w:rsidR="00422BA1" w:rsidRPr="000F6672">
        <w:t xml:space="preserve">l siguiente cuadro resume los tramos de cada segmento </w:t>
      </w:r>
      <w:r w:rsidRPr="000F6672">
        <w:t xml:space="preserve">de transmisión </w:t>
      </w:r>
      <w:r w:rsidR="00422BA1" w:rsidRPr="000F6672">
        <w:t>con mayores y menores incumplimientos respecto de los estándares</w:t>
      </w:r>
      <w:r w:rsidRPr="000F6672">
        <w:t xml:space="preserve"> que le son aplicables.</w:t>
      </w:r>
    </w:p>
    <w:p w14:paraId="18E78EB4" w14:textId="53B0C56B" w:rsidR="00867879" w:rsidRPr="000F6672" w:rsidRDefault="00867879" w:rsidP="00867879">
      <w:pPr>
        <w:pStyle w:val="Descripcin"/>
        <w:keepNext/>
      </w:pPr>
      <w:r w:rsidRPr="00DA7CE8">
        <w:t xml:space="preserve">Tabla </w:t>
      </w:r>
      <w:r w:rsidRPr="00DA7CE8">
        <w:rPr>
          <w:noProof/>
        </w:rPr>
        <w:fldChar w:fldCharType="begin"/>
      </w:r>
      <w:r w:rsidRPr="00DA7CE8">
        <w:rPr>
          <w:noProof/>
        </w:rPr>
        <w:instrText xml:space="preserve"> SEQ Tabla \* ARABIC </w:instrText>
      </w:r>
      <w:r w:rsidRPr="00DA7CE8">
        <w:rPr>
          <w:noProof/>
        </w:rPr>
        <w:fldChar w:fldCharType="separate"/>
      </w:r>
      <w:r w:rsidR="00B62914" w:rsidRPr="00DA7CE8">
        <w:rPr>
          <w:noProof/>
        </w:rPr>
        <w:t>4</w:t>
      </w:r>
      <w:r w:rsidRPr="00DA7CE8">
        <w:rPr>
          <w:noProof/>
        </w:rPr>
        <w:fldChar w:fldCharType="end"/>
      </w:r>
      <w:r w:rsidRPr="00DA7CE8">
        <w:t>: Cumplimiento de índices de transmisión</w:t>
      </w:r>
    </w:p>
    <w:tbl>
      <w:tblPr>
        <w:tblStyle w:val="Tablaconcuadrcula"/>
        <w:tblW w:w="10491" w:type="dxa"/>
        <w:tblInd w:w="-431" w:type="dxa"/>
        <w:tblBorders>
          <w:top w:val="single" w:sz="4" w:space="0" w:color="00AEC5" w:themeColor="accent1"/>
          <w:left w:val="single" w:sz="4" w:space="0" w:color="00AEC5" w:themeColor="accent1"/>
          <w:bottom w:val="single" w:sz="4" w:space="0" w:color="00AEC5" w:themeColor="accent1"/>
          <w:right w:val="single" w:sz="4" w:space="0" w:color="00AEC5" w:themeColor="accent1"/>
          <w:insideH w:val="single" w:sz="4" w:space="0" w:color="00AEC5" w:themeColor="accent1"/>
          <w:insideV w:val="single" w:sz="4" w:space="0" w:color="00AEC5" w:themeColor="accent1"/>
        </w:tblBorders>
        <w:tblLook w:val="04A0" w:firstRow="1" w:lastRow="0" w:firstColumn="1" w:lastColumn="0" w:noHBand="0" w:noVBand="1"/>
      </w:tblPr>
      <w:tblGrid>
        <w:gridCol w:w="4030"/>
        <w:gridCol w:w="764"/>
        <w:gridCol w:w="964"/>
        <w:gridCol w:w="964"/>
        <w:gridCol w:w="850"/>
        <w:gridCol w:w="951"/>
        <w:gridCol w:w="1007"/>
        <w:gridCol w:w="961"/>
      </w:tblGrid>
      <w:tr w:rsidR="00944E5B" w:rsidRPr="00944E5B" w14:paraId="5EDAF2EB" w14:textId="77777777" w:rsidTr="003B5B0B">
        <w:trPr>
          <w:cantSplit/>
          <w:trHeight w:hRule="exact" w:val="483"/>
        </w:trPr>
        <w:tc>
          <w:tcPr>
            <w:tcW w:w="4030" w:type="dxa"/>
            <w:vMerge w:val="restart"/>
            <w:shd w:val="clear" w:color="auto" w:fill="00AEC5" w:themeFill="accent1"/>
            <w:vAlign w:val="center"/>
          </w:tcPr>
          <w:p w14:paraId="065A4B7D" w14:textId="77777777" w:rsidR="00EC5A8B" w:rsidRPr="003B5B0B" w:rsidRDefault="00EC5A8B" w:rsidP="003B5B0B">
            <w:pPr>
              <w:spacing w:before="0" w:after="0"/>
              <w:jc w:val="center"/>
              <w:rPr>
                <w:b/>
                <w:color w:val="FFFFFF"/>
                <w:sz w:val="18"/>
                <w:szCs w:val="18"/>
              </w:rPr>
            </w:pPr>
            <w:r w:rsidRPr="003B5B0B">
              <w:rPr>
                <w:b/>
                <w:color w:val="FFFFFF"/>
                <w:sz w:val="18"/>
                <w:szCs w:val="18"/>
              </w:rPr>
              <w:t>Tramo</w:t>
            </w:r>
          </w:p>
        </w:tc>
        <w:tc>
          <w:tcPr>
            <w:tcW w:w="764" w:type="dxa"/>
            <w:vMerge w:val="restart"/>
            <w:shd w:val="clear" w:color="auto" w:fill="00AEC5" w:themeFill="accent1"/>
            <w:vAlign w:val="center"/>
          </w:tcPr>
          <w:p w14:paraId="510EA172" w14:textId="77777777" w:rsidR="00EC5A8B" w:rsidRPr="003B5B0B" w:rsidRDefault="00EC5A8B" w:rsidP="00D954BA">
            <w:pPr>
              <w:spacing w:before="0" w:after="0"/>
              <w:jc w:val="center"/>
              <w:rPr>
                <w:b/>
                <w:color w:val="FFFFFF"/>
                <w:sz w:val="18"/>
                <w:szCs w:val="18"/>
              </w:rPr>
            </w:pPr>
            <w:r w:rsidRPr="003B5B0B">
              <w:rPr>
                <w:b/>
                <w:color w:val="FFFFFF"/>
                <w:sz w:val="18"/>
                <w:szCs w:val="18"/>
              </w:rPr>
              <w:t>Índice</w:t>
            </w:r>
          </w:p>
        </w:tc>
        <w:tc>
          <w:tcPr>
            <w:tcW w:w="1928" w:type="dxa"/>
            <w:gridSpan w:val="2"/>
            <w:shd w:val="clear" w:color="auto" w:fill="00AEC5" w:themeFill="accent1"/>
            <w:vAlign w:val="center"/>
          </w:tcPr>
          <w:p w14:paraId="3954849B" w14:textId="77777777" w:rsidR="00EC5A8B" w:rsidRPr="003B5B0B" w:rsidRDefault="00EC5A8B" w:rsidP="00D954BA">
            <w:pPr>
              <w:spacing w:before="0" w:after="0"/>
              <w:jc w:val="center"/>
              <w:rPr>
                <w:b/>
                <w:color w:val="FFFFFF"/>
                <w:sz w:val="18"/>
                <w:szCs w:val="18"/>
              </w:rPr>
            </w:pPr>
            <w:r w:rsidRPr="003B5B0B">
              <w:rPr>
                <w:b/>
                <w:color w:val="FFFFFF"/>
                <w:sz w:val="18"/>
                <w:szCs w:val="18"/>
              </w:rPr>
              <w:t>Nacional</w:t>
            </w:r>
          </w:p>
        </w:tc>
        <w:tc>
          <w:tcPr>
            <w:tcW w:w="1801" w:type="dxa"/>
            <w:gridSpan w:val="2"/>
            <w:shd w:val="clear" w:color="auto" w:fill="00AEC5" w:themeFill="accent1"/>
            <w:vAlign w:val="center"/>
          </w:tcPr>
          <w:p w14:paraId="7A700140" w14:textId="77777777" w:rsidR="00EC5A8B" w:rsidRPr="003B5B0B" w:rsidRDefault="00EC5A8B" w:rsidP="00D954BA">
            <w:pPr>
              <w:spacing w:before="0" w:after="0"/>
              <w:jc w:val="center"/>
              <w:rPr>
                <w:b/>
                <w:color w:val="FFFFFF"/>
                <w:sz w:val="18"/>
                <w:szCs w:val="18"/>
              </w:rPr>
            </w:pPr>
            <w:r w:rsidRPr="003B5B0B">
              <w:rPr>
                <w:b/>
                <w:color w:val="FFFFFF"/>
                <w:sz w:val="18"/>
                <w:szCs w:val="18"/>
              </w:rPr>
              <w:t>Zonal</w:t>
            </w:r>
          </w:p>
        </w:tc>
        <w:tc>
          <w:tcPr>
            <w:tcW w:w="1968" w:type="dxa"/>
            <w:gridSpan w:val="2"/>
            <w:shd w:val="clear" w:color="auto" w:fill="00AEC5" w:themeFill="accent1"/>
            <w:vAlign w:val="center"/>
          </w:tcPr>
          <w:p w14:paraId="35ECF760" w14:textId="77777777" w:rsidR="00EC5A8B" w:rsidRPr="003B5B0B" w:rsidRDefault="00EC5A8B" w:rsidP="00D954BA">
            <w:pPr>
              <w:spacing w:before="0" w:after="0"/>
              <w:jc w:val="center"/>
              <w:rPr>
                <w:b/>
                <w:color w:val="FFFFFF"/>
                <w:sz w:val="18"/>
                <w:szCs w:val="18"/>
              </w:rPr>
            </w:pPr>
            <w:r w:rsidRPr="003B5B0B">
              <w:rPr>
                <w:b/>
                <w:color w:val="FFFFFF"/>
                <w:sz w:val="18"/>
                <w:szCs w:val="18"/>
              </w:rPr>
              <w:t>Dedicado</w:t>
            </w:r>
          </w:p>
        </w:tc>
      </w:tr>
      <w:tr w:rsidR="00944E5B" w:rsidRPr="00944E5B" w14:paraId="3EE07303" w14:textId="77777777" w:rsidTr="003B5B0B">
        <w:trPr>
          <w:trHeight w:hRule="exact" w:val="397"/>
        </w:trPr>
        <w:tc>
          <w:tcPr>
            <w:tcW w:w="4030" w:type="dxa"/>
            <w:vMerge/>
            <w:shd w:val="clear" w:color="auto" w:fill="00AEC5" w:themeFill="accent1"/>
            <w:vAlign w:val="center"/>
          </w:tcPr>
          <w:p w14:paraId="10A6016F" w14:textId="77777777" w:rsidR="00A864AB" w:rsidRPr="003B5B0B" w:rsidRDefault="00A864AB" w:rsidP="00D954BA">
            <w:pPr>
              <w:spacing w:before="0" w:after="0"/>
              <w:jc w:val="center"/>
              <w:rPr>
                <w:b/>
                <w:color w:val="FFFFFF"/>
                <w:sz w:val="18"/>
                <w:szCs w:val="18"/>
              </w:rPr>
            </w:pPr>
          </w:p>
        </w:tc>
        <w:tc>
          <w:tcPr>
            <w:tcW w:w="764" w:type="dxa"/>
            <w:vMerge/>
            <w:shd w:val="clear" w:color="auto" w:fill="00AEC5" w:themeFill="accent1"/>
            <w:vAlign w:val="center"/>
          </w:tcPr>
          <w:p w14:paraId="4B91AD8E" w14:textId="77777777" w:rsidR="00A864AB" w:rsidRPr="003B5B0B" w:rsidRDefault="00A864AB" w:rsidP="00D954BA">
            <w:pPr>
              <w:spacing w:before="0" w:after="0"/>
              <w:jc w:val="center"/>
              <w:rPr>
                <w:b/>
                <w:color w:val="FFFFFF"/>
                <w:sz w:val="18"/>
                <w:szCs w:val="18"/>
              </w:rPr>
            </w:pPr>
          </w:p>
        </w:tc>
        <w:tc>
          <w:tcPr>
            <w:tcW w:w="964" w:type="dxa"/>
            <w:shd w:val="clear" w:color="auto" w:fill="00AEC5" w:themeFill="accent1"/>
            <w:vAlign w:val="center"/>
          </w:tcPr>
          <w:p w14:paraId="2EBBFD33" w14:textId="77777777" w:rsidR="00A864AB" w:rsidRPr="003B5B0B" w:rsidRDefault="004F79DB" w:rsidP="00D954BA">
            <w:pPr>
              <w:spacing w:before="0" w:after="0"/>
              <w:jc w:val="center"/>
              <w:rPr>
                <w:b/>
                <w:color w:val="FFFFFF"/>
                <w:sz w:val="18"/>
                <w:szCs w:val="18"/>
              </w:rPr>
            </w:pPr>
            <w:r w:rsidRPr="003B5B0B">
              <w:rPr>
                <w:b/>
                <w:color w:val="FFFFFF"/>
                <w:sz w:val="18"/>
                <w:szCs w:val="18"/>
              </w:rPr>
              <w:t>Máx.</w:t>
            </w:r>
          </w:p>
        </w:tc>
        <w:tc>
          <w:tcPr>
            <w:tcW w:w="964" w:type="dxa"/>
            <w:shd w:val="clear" w:color="auto" w:fill="00AEC5" w:themeFill="accent1"/>
            <w:vAlign w:val="center"/>
          </w:tcPr>
          <w:p w14:paraId="7CED547B" w14:textId="77777777" w:rsidR="00A864AB" w:rsidRPr="003B5B0B" w:rsidRDefault="004F79DB" w:rsidP="00D954BA">
            <w:pPr>
              <w:spacing w:before="0" w:after="0"/>
              <w:jc w:val="center"/>
              <w:rPr>
                <w:b/>
                <w:color w:val="FFFFFF"/>
                <w:sz w:val="18"/>
                <w:szCs w:val="18"/>
              </w:rPr>
            </w:pPr>
            <w:r w:rsidRPr="003B5B0B">
              <w:rPr>
                <w:b/>
                <w:color w:val="FFFFFF"/>
                <w:sz w:val="18"/>
                <w:szCs w:val="18"/>
              </w:rPr>
              <w:t>Mín.</w:t>
            </w:r>
          </w:p>
        </w:tc>
        <w:tc>
          <w:tcPr>
            <w:tcW w:w="850" w:type="dxa"/>
            <w:shd w:val="clear" w:color="auto" w:fill="00AEC5" w:themeFill="accent1"/>
            <w:vAlign w:val="center"/>
          </w:tcPr>
          <w:p w14:paraId="37CEF369" w14:textId="77777777" w:rsidR="00A864AB" w:rsidRPr="003B5B0B" w:rsidRDefault="004F79DB" w:rsidP="00D954BA">
            <w:pPr>
              <w:spacing w:before="0" w:after="0"/>
              <w:jc w:val="center"/>
              <w:rPr>
                <w:b/>
                <w:color w:val="FFFFFF"/>
                <w:sz w:val="18"/>
                <w:szCs w:val="18"/>
              </w:rPr>
            </w:pPr>
            <w:r w:rsidRPr="003B5B0B">
              <w:rPr>
                <w:b/>
                <w:color w:val="FFFFFF"/>
                <w:sz w:val="18"/>
                <w:szCs w:val="18"/>
              </w:rPr>
              <w:t>Máx.</w:t>
            </w:r>
          </w:p>
        </w:tc>
        <w:tc>
          <w:tcPr>
            <w:tcW w:w="951" w:type="dxa"/>
            <w:shd w:val="clear" w:color="auto" w:fill="00AEC5" w:themeFill="accent1"/>
            <w:vAlign w:val="center"/>
          </w:tcPr>
          <w:p w14:paraId="195CDF62" w14:textId="77777777" w:rsidR="00A864AB" w:rsidRPr="003B5B0B" w:rsidRDefault="004F79DB" w:rsidP="00D954BA">
            <w:pPr>
              <w:spacing w:before="0" w:after="0"/>
              <w:jc w:val="center"/>
              <w:rPr>
                <w:b/>
                <w:color w:val="FFFFFF"/>
                <w:sz w:val="18"/>
                <w:szCs w:val="18"/>
              </w:rPr>
            </w:pPr>
            <w:r w:rsidRPr="003B5B0B">
              <w:rPr>
                <w:b/>
                <w:color w:val="FFFFFF"/>
                <w:sz w:val="18"/>
                <w:szCs w:val="18"/>
              </w:rPr>
              <w:t>Mín.</w:t>
            </w:r>
          </w:p>
        </w:tc>
        <w:tc>
          <w:tcPr>
            <w:tcW w:w="1007" w:type="dxa"/>
            <w:shd w:val="clear" w:color="auto" w:fill="00AEC5" w:themeFill="accent1"/>
            <w:vAlign w:val="center"/>
          </w:tcPr>
          <w:p w14:paraId="1AF27D15" w14:textId="77777777" w:rsidR="00A864AB" w:rsidRPr="003B5B0B" w:rsidRDefault="004F79DB" w:rsidP="00D954BA">
            <w:pPr>
              <w:spacing w:before="0" w:after="0"/>
              <w:jc w:val="center"/>
              <w:rPr>
                <w:b/>
                <w:color w:val="FFFFFF"/>
                <w:sz w:val="18"/>
                <w:szCs w:val="18"/>
              </w:rPr>
            </w:pPr>
            <w:r w:rsidRPr="003B5B0B">
              <w:rPr>
                <w:b/>
                <w:color w:val="FFFFFF"/>
                <w:sz w:val="18"/>
                <w:szCs w:val="18"/>
              </w:rPr>
              <w:t>Máx.</w:t>
            </w:r>
          </w:p>
        </w:tc>
        <w:tc>
          <w:tcPr>
            <w:tcW w:w="961" w:type="dxa"/>
            <w:shd w:val="clear" w:color="auto" w:fill="00AEC5" w:themeFill="accent1"/>
            <w:vAlign w:val="center"/>
          </w:tcPr>
          <w:p w14:paraId="63B5573C" w14:textId="77777777" w:rsidR="00A864AB" w:rsidRPr="003B5B0B" w:rsidRDefault="004F79DB" w:rsidP="00D954BA">
            <w:pPr>
              <w:spacing w:before="0" w:after="0"/>
              <w:jc w:val="center"/>
              <w:rPr>
                <w:b/>
                <w:color w:val="FFFFFF"/>
                <w:sz w:val="18"/>
                <w:szCs w:val="18"/>
              </w:rPr>
            </w:pPr>
            <w:r w:rsidRPr="003B5B0B">
              <w:rPr>
                <w:b/>
                <w:color w:val="FFFFFF"/>
                <w:sz w:val="18"/>
                <w:szCs w:val="18"/>
              </w:rPr>
              <w:t>Mín.</w:t>
            </w:r>
          </w:p>
        </w:tc>
      </w:tr>
      <w:tr w:rsidR="005967A1" w:rsidRPr="00944E5B" w14:paraId="0B5314A5" w14:textId="77777777" w:rsidTr="003B5B0B">
        <w:trPr>
          <w:trHeight w:hRule="exact" w:val="397"/>
        </w:trPr>
        <w:tc>
          <w:tcPr>
            <w:tcW w:w="4030" w:type="dxa"/>
            <w:vAlign w:val="center"/>
          </w:tcPr>
          <w:p w14:paraId="43A9083D" w14:textId="7310EB7C" w:rsidR="005967A1" w:rsidRPr="005967A1" w:rsidRDefault="005967A1" w:rsidP="005967A1">
            <w:pPr>
              <w:spacing w:before="0" w:after="0"/>
              <w:jc w:val="left"/>
              <w:rPr>
                <w:sz w:val="18"/>
                <w:szCs w:val="18"/>
              </w:rPr>
            </w:pPr>
            <w:r w:rsidRPr="005967A1">
              <w:rPr>
                <w:sz w:val="18"/>
                <w:szCs w:val="18"/>
              </w:rPr>
              <w:t>Atacama – O’Higgins 220KV C2</w:t>
            </w:r>
          </w:p>
        </w:tc>
        <w:tc>
          <w:tcPr>
            <w:tcW w:w="764" w:type="dxa"/>
            <w:vAlign w:val="center"/>
          </w:tcPr>
          <w:p w14:paraId="46ADF74F" w14:textId="507ACCBD" w:rsidR="005967A1" w:rsidRPr="005967A1" w:rsidRDefault="005967A1" w:rsidP="005967A1">
            <w:pPr>
              <w:spacing w:before="0" w:after="0"/>
              <w:jc w:val="center"/>
              <w:rPr>
                <w:sz w:val="18"/>
                <w:szCs w:val="18"/>
              </w:rPr>
            </w:pPr>
            <w:r w:rsidRPr="005967A1">
              <w:rPr>
                <w:sz w:val="18"/>
                <w:szCs w:val="18"/>
              </w:rPr>
              <w:t>Hprot</w:t>
            </w:r>
          </w:p>
        </w:tc>
        <w:tc>
          <w:tcPr>
            <w:tcW w:w="964" w:type="dxa"/>
            <w:vAlign w:val="center"/>
          </w:tcPr>
          <w:p w14:paraId="1AF561CD" w14:textId="2263EB05" w:rsidR="005967A1" w:rsidRPr="005967A1" w:rsidRDefault="005967A1" w:rsidP="005967A1">
            <w:pPr>
              <w:spacing w:before="0" w:after="0"/>
              <w:jc w:val="center"/>
              <w:rPr>
                <w:sz w:val="18"/>
                <w:szCs w:val="18"/>
              </w:rPr>
            </w:pPr>
            <w:r w:rsidRPr="005967A1">
              <w:rPr>
                <w:sz w:val="18"/>
                <w:szCs w:val="18"/>
              </w:rPr>
              <w:t>7.472%</w:t>
            </w:r>
          </w:p>
        </w:tc>
        <w:tc>
          <w:tcPr>
            <w:tcW w:w="964" w:type="dxa"/>
            <w:vAlign w:val="center"/>
          </w:tcPr>
          <w:p w14:paraId="52B5AF9E" w14:textId="77777777" w:rsidR="005967A1" w:rsidRPr="005967A1" w:rsidRDefault="005967A1" w:rsidP="005967A1">
            <w:pPr>
              <w:spacing w:before="0" w:after="0"/>
              <w:jc w:val="center"/>
              <w:rPr>
                <w:sz w:val="18"/>
                <w:szCs w:val="18"/>
              </w:rPr>
            </w:pPr>
          </w:p>
        </w:tc>
        <w:tc>
          <w:tcPr>
            <w:tcW w:w="850" w:type="dxa"/>
            <w:vAlign w:val="center"/>
          </w:tcPr>
          <w:p w14:paraId="1F1F1871" w14:textId="77777777" w:rsidR="005967A1" w:rsidRPr="005967A1" w:rsidRDefault="005967A1" w:rsidP="005967A1">
            <w:pPr>
              <w:spacing w:before="0" w:after="0"/>
              <w:jc w:val="center"/>
              <w:rPr>
                <w:sz w:val="18"/>
                <w:szCs w:val="18"/>
              </w:rPr>
            </w:pPr>
          </w:p>
        </w:tc>
        <w:tc>
          <w:tcPr>
            <w:tcW w:w="951" w:type="dxa"/>
            <w:vAlign w:val="center"/>
          </w:tcPr>
          <w:p w14:paraId="06F96AF1" w14:textId="77777777" w:rsidR="005967A1" w:rsidRPr="005967A1" w:rsidRDefault="005967A1" w:rsidP="005967A1">
            <w:pPr>
              <w:spacing w:before="0" w:after="0"/>
              <w:jc w:val="center"/>
              <w:rPr>
                <w:sz w:val="18"/>
                <w:szCs w:val="18"/>
              </w:rPr>
            </w:pPr>
          </w:p>
        </w:tc>
        <w:tc>
          <w:tcPr>
            <w:tcW w:w="1007" w:type="dxa"/>
            <w:vAlign w:val="center"/>
          </w:tcPr>
          <w:p w14:paraId="29884265" w14:textId="77777777" w:rsidR="005967A1" w:rsidRPr="005967A1" w:rsidRDefault="005967A1" w:rsidP="005967A1">
            <w:pPr>
              <w:spacing w:before="0" w:after="0"/>
              <w:jc w:val="center"/>
              <w:rPr>
                <w:sz w:val="18"/>
                <w:szCs w:val="18"/>
              </w:rPr>
            </w:pPr>
          </w:p>
        </w:tc>
        <w:tc>
          <w:tcPr>
            <w:tcW w:w="961" w:type="dxa"/>
            <w:vAlign w:val="center"/>
          </w:tcPr>
          <w:p w14:paraId="6B67E1EC" w14:textId="77777777" w:rsidR="005967A1" w:rsidRPr="005967A1" w:rsidRDefault="005967A1" w:rsidP="005967A1">
            <w:pPr>
              <w:spacing w:before="0" w:after="0"/>
              <w:jc w:val="center"/>
              <w:rPr>
                <w:sz w:val="18"/>
                <w:szCs w:val="18"/>
              </w:rPr>
            </w:pPr>
          </w:p>
        </w:tc>
      </w:tr>
      <w:tr w:rsidR="005967A1" w:rsidRPr="00944E5B" w14:paraId="3190D9AC" w14:textId="77777777" w:rsidTr="00B63B91">
        <w:trPr>
          <w:trHeight w:hRule="exact" w:val="394"/>
        </w:trPr>
        <w:tc>
          <w:tcPr>
            <w:tcW w:w="4030" w:type="dxa"/>
            <w:vAlign w:val="center"/>
          </w:tcPr>
          <w:p w14:paraId="0D4BC5CD" w14:textId="0A04C1A5" w:rsidR="005967A1" w:rsidRPr="005967A1" w:rsidRDefault="005967A1" w:rsidP="005967A1">
            <w:pPr>
              <w:spacing w:before="0" w:after="0"/>
              <w:jc w:val="left"/>
              <w:rPr>
                <w:sz w:val="18"/>
                <w:szCs w:val="18"/>
              </w:rPr>
            </w:pPr>
            <w:r w:rsidRPr="005967A1">
              <w:rPr>
                <w:sz w:val="18"/>
                <w:szCs w:val="18"/>
              </w:rPr>
              <w:t>Changos- Kapatur 220KV C2</w:t>
            </w:r>
          </w:p>
        </w:tc>
        <w:tc>
          <w:tcPr>
            <w:tcW w:w="764" w:type="dxa"/>
            <w:vAlign w:val="center"/>
          </w:tcPr>
          <w:p w14:paraId="2EF0045E" w14:textId="6322134D" w:rsidR="005967A1" w:rsidRPr="005967A1" w:rsidRDefault="005967A1" w:rsidP="005967A1">
            <w:pPr>
              <w:spacing w:before="0" w:after="0"/>
              <w:jc w:val="center"/>
              <w:rPr>
                <w:sz w:val="18"/>
                <w:szCs w:val="18"/>
              </w:rPr>
            </w:pPr>
            <w:r w:rsidRPr="005967A1">
              <w:rPr>
                <w:sz w:val="18"/>
                <w:szCs w:val="18"/>
              </w:rPr>
              <w:t>Hprot</w:t>
            </w:r>
          </w:p>
        </w:tc>
        <w:tc>
          <w:tcPr>
            <w:tcW w:w="964" w:type="dxa"/>
            <w:vAlign w:val="center"/>
          </w:tcPr>
          <w:p w14:paraId="48E45B25" w14:textId="77777777" w:rsidR="005967A1" w:rsidRPr="005967A1" w:rsidRDefault="005967A1" w:rsidP="005967A1">
            <w:pPr>
              <w:spacing w:before="0" w:after="0"/>
              <w:jc w:val="center"/>
              <w:rPr>
                <w:sz w:val="18"/>
                <w:szCs w:val="18"/>
              </w:rPr>
            </w:pPr>
          </w:p>
        </w:tc>
        <w:tc>
          <w:tcPr>
            <w:tcW w:w="964" w:type="dxa"/>
            <w:vAlign w:val="center"/>
          </w:tcPr>
          <w:p w14:paraId="7B8981D7" w14:textId="41AC23BF" w:rsidR="005967A1" w:rsidRPr="005967A1" w:rsidRDefault="005967A1" w:rsidP="005967A1">
            <w:pPr>
              <w:spacing w:before="0" w:after="0"/>
              <w:jc w:val="center"/>
              <w:rPr>
                <w:sz w:val="18"/>
                <w:szCs w:val="18"/>
              </w:rPr>
            </w:pPr>
            <w:r w:rsidRPr="005967A1">
              <w:rPr>
                <w:sz w:val="18"/>
                <w:szCs w:val="18"/>
              </w:rPr>
              <w:t>2,1%</w:t>
            </w:r>
          </w:p>
        </w:tc>
        <w:tc>
          <w:tcPr>
            <w:tcW w:w="850" w:type="dxa"/>
            <w:vAlign w:val="center"/>
          </w:tcPr>
          <w:p w14:paraId="6547086B" w14:textId="77777777" w:rsidR="005967A1" w:rsidRPr="005967A1" w:rsidRDefault="005967A1" w:rsidP="005967A1">
            <w:pPr>
              <w:spacing w:before="0" w:after="0"/>
              <w:jc w:val="center"/>
              <w:rPr>
                <w:sz w:val="18"/>
                <w:szCs w:val="18"/>
              </w:rPr>
            </w:pPr>
          </w:p>
        </w:tc>
        <w:tc>
          <w:tcPr>
            <w:tcW w:w="951" w:type="dxa"/>
            <w:vAlign w:val="center"/>
          </w:tcPr>
          <w:p w14:paraId="711ADFB0" w14:textId="77777777" w:rsidR="005967A1" w:rsidRPr="005967A1" w:rsidRDefault="005967A1" w:rsidP="005967A1">
            <w:pPr>
              <w:spacing w:before="0" w:after="0"/>
              <w:jc w:val="center"/>
              <w:rPr>
                <w:sz w:val="18"/>
                <w:szCs w:val="18"/>
              </w:rPr>
            </w:pPr>
          </w:p>
        </w:tc>
        <w:tc>
          <w:tcPr>
            <w:tcW w:w="1007" w:type="dxa"/>
            <w:vAlign w:val="center"/>
          </w:tcPr>
          <w:p w14:paraId="2F045594" w14:textId="77777777" w:rsidR="005967A1" w:rsidRPr="005967A1" w:rsidRDefault="005967A1" w:rsidP="005967A1">
            <w:pPr>
              <w:spacing w:before="0" w:after="0"/>
              <w:jc w:val="center"/>
              <w:rPr>
                <w:sz w:val="18"/>
                <w:szCs w:val="18"/>
              </w:rPr>
            </w:pPr>
          </w:p>
        </w:tc>
        <w:tc>
          <w:tcPr>
            <w:tcW w:w="961" w:type="dxa"/>
            <w:vAlign w:val="center"/>
          </w:tcPr>
          <w:p w14:paraId="5453E54F" w14:textId="77777777" w:rsidR="005967A1" w:rsidRPr="005967A1" w:rsidRDefault="005967A1" w:rsidP="005967A1">
            <w:pPr>
              <w:spacing w:before="0" w:after="0"/>
              <w:jc w:val="center"/>
              <w:rPr>
                <w:sz w:val="18"/>
                <w:szCs w:val="18"/>
              </w:rPr>
            </w:pPr>
          </w:p>
        </w:tc>
      </w:tr>
      <w:tr w:rsidR="005967A1" w:rsidRPr="00944E5B" w14:paraId="7ED9161D" w14:textId="77777777" w:rsidTr="003B5B0B">
        <w:trPr>
          <w:trHeight w:hRule="exact" w:val="397"/>
        </w:trPr>
        <w:tc>
          <w:tcPr>
            <w:tcW w:w="4030" w:type="dxa"/>
            <w:vAlign w:val="center"/>
          </w:tcPr>
          <w:p w14:paraId="1CFB6A63" w14:textId="61A84EEF" w:rsidR="005967A1" w:rsidRPr="005967A1" w:rsidRDefault="005967A1" w:rsidP="005967A1">
            <w:pPr>
              <w:spacing w:before="0" w:after="0"/>
              <w:jc w:val="left"/>
              <w:rPr>
                <w:sz w:val="18"/>
                <w:szCs w:val="18"/>
              </w:rPr>
            </w:pPr>
            <w:r w:rsidRPr="005967A1">
              <w:rPr>
                <w:sz w:val="18"/>
                <w:szCs w:val="18"/>
              </w:rPr>
              <w:t>Lo Aguirre- Cerro Navia 220KV C1</w:t>
            </w:r>
          </w:p>
        </w:tc>
        <w:tc>
          <w:tcPr>
            <w:tcW w:w="764" w:type="dxa"/>
            <w:vAlign w:val="center"/>
          </w:tcPr>
          <w:p w14:paraId="742D15B4" w14:textId="58213087" w:rsidR="005967A1" w:rsidRPr="005967A1" w:rsidRDefault="005967A1" w:rsidP="005967A1">
            <w:pPr>
              <w:spacing w:before="0" w:after="0"/>
              <w:jc w:val="center"/>
              <w:rPr>
                <w:sz w:val="18"/>
                <w:szCs w:val="18"/>
              </w:rPr>
            </w:pPr>
            <w:r w:rsidRPr="005967A1">
              <w:rPr>
                <w:sz w:val="18"/>
                <w:szCs w:val="18"/>
              </w:rPr>
              <w:t>Hfort</w:t>
            </w:r>
          </w:p>
        </w:tc>
        <w:tc>
          <w:tcPr>
            <w:tcW w:w="964" w:type="dxa"/>
            <w:vAlign w:val="center"/>
          </w:tcPr>
          <w:p w14:paraId="00A68E02" w14:textId="655E3918" w:rsidR="005967A1" w:rsidRPr="005967A1" w:rsidRDefault="005967A1" w:rsidP="005967A1">
            <w:pPr>
              <w:spacing w:before="0" w:after="0"/>
              <w:jc w:val="center"/>
              <w:rPr>
                <w:sz w:val="18"/>
                <w:szCs w:val="18"/>
              </w:rPr>
            </w:pPr>
            <w:r w:rsidRPr="005967A1">
              <w:rPr>
                <w:sz w:val="18"/>
                <w:szCs w:val="18"/>
              </w:rPr>
              <w:t>2.817%</w:t>
            </w:r>
          </w:p>
        </w:tc>
        <w:tc>
          <w:tcPr>
            <w:tcW w:w="964" w:type="dxa"/>
            <w:vAlign w:val="center"/>
          </w:tcPr>
          <w:p w14:paraId="10A2A0B2" w14:textId="77777777" w:rsidR="005967A1" w:rsidRPr="005967A1" w:rsidRDefault="005967A1" w:rsidP="005967A1">
            <w:pPr>
              <w:spacing w:before="0" w:after="0"/>
              <w:jc w:val="center"/>
              <w:rPr>
                <w:sz w:val="18"/>
                <w:szCs w:val="18"/>
              </w:rPr>
            </w:pPr>
          </w:p>
        </w:tc>
        <w:tc>
          <w:tcPr>
            <w:tcW w:w="850" w:type="dxa"/>
            <w:vAlign w:val="center"/>
          </w:tcPr>
          <w:p w14:paraId="49FB8875" w14:textId="77777777" w:rsidR="005967A1" w:rsidRPr="005967A1" w:rsidRDefault="005967A1" w:rsidP="005967A1">
            <w:pPr>
              <w:spacing w:before="0" w:after="0"/>
              <w:jc w:val="center"/>
              <w:rPr>
                <w:sz w:val="18"/>
                <w:szCs w:val="18"/>
              </w:rPr>
            </w:pPr>
          </w:p>
        </w:tc>
        <w:tc>
          <w:tcPr>
            <w:tcW w:w="951" w:type="dxa"/>
            <w:vAlign w:val="center"/>
          </w:tcPr>
          <w:p w14:paraId="51AED3E5" w14:textId="77777777" w:rsidR="005967A1" w:rsidRPr="005967A1" w:rsidRDefault="005967A1" w:rsidP="005967A1">
            <w:pPr>
              <w:spacing w:before="0" w:after="0"/>
              <w:jc w:val="center"/>
              <w:rPr>
                <w:sz w:val="18"/>
                <w:szCs w:val="18"/>
              </w:rPr>
            </w:pPr>
          </w:p>
        </w:tc>
        <w:tc>
          <w:tcPr>
            <w:tcW w:w="1007" w:type="dxa"/>
            <w:vAlign w:val="center"/>
          </w:tcPr>
          <w:p w14:paraId="3B03E331" w14:textId="77777777" w:rsidR="005967A1" w:rsidRPr="005967A1" w:rsidRDefault="005967A1" w:rsidP="005967A1">
            <w:pPr>
              <w:spacing w:before="0" w:after="0"/>
              <w:jc w:val="center"/>
              <w:rPr>
                <w:sz w:val="18"/>
                <w:szCs w:val="18"/>
              </w:rPr>
            </w:pPr>
          </w:p>
        </w:tc>
        <w:tc>
          <w:tcPr>
            <w:tcW w:w="961" w:type="dxa"/>
            <w:vAlign w:val="center"/>
          </w:tcPr>
          <w:p w14:paraId="1F2F90F7" w14:textId="77777777" w:rsidR="005967A1" w:rsidRPr="005967A1" w:rsidRDefault="005967A1" w:rsidP="005967A1">
            <w:pPr>
              <w:spacing w:before="0" w:after="0"/>
              <w:jc w:val="center"/>
              <w:rPr>
                <w:sz w:val="18"/>
                <w:szCs w:val="18"/>
              </w:rPr>
            </w:pPr>
          </w:p>
        </w:tc>
      </w:tr>
      <w:tr w:rsidR="005967A1" w:rsidRPr="00944E5B" w14:paraId="2950F129" w14:textId="77777777" w:rsidTr="003B5B0B">
        <w:trPr>
          <w:trHeight w:hRule="exact" w:val="397"/>
        </w:trPr>
        <w:tc>
          <w:tcPr>
            <w:tcW w:w="4030" w:type="dxa"/>
            <w:vAlign w:val="center"/>
          </w:tcPr>
          <w:p w14:paraId="69325430" w14:textId="6AC13C3C" w:rsidR="005967A1" w:rsidRPr="005967A1" w:rsidRDefault="005967A1" w:rsidP="005967A1">
            <w:pPr>
              <w:spacing w:before="0" w:after="0"/>
              <w:jc w:val="left"/>
              <w:rPr>
                <w:sz w:val="18"/>
                <w:szCs w:val="18"/>
              </w:rPr>
            </w:pPr>
            <w:r w:rsidRPr="005967A1">
              <w:rPr>
                <w:sz w:val="18"/>
                <w:szCs w:val="18"/>
              </w:rPr>
              <w:t>Tap el Llano- Los Maquis 220KV C1</w:t>
            </w:r>
          </w:p>
        </w:tc>
        <w:tc>
          <w:tcPr>
            <w:tcW w:w="764" w:type="dxa"/>
            <w:vAlign w:val="center"/>
          </w:tcPr>
          <w:p w14:paraId="4AD4A6CE" w14:textId="744C58F9" w:rsidR="005967A1" w:rsidRPr="005967A1" w:rsidRDefault="005967A1" w:rsidP="005967A1">
            <w:pPr>
              <w:spacing w:before="0" w:after="0"/>
              <w:jc w:val="center"/>
              <w:rPr>
                <w:sz w:val="18"/>
                <w:szCs w:val="18"/>
              </w:rPr>
            </w:pPr>
            <w:r w:rsidRPr="005967A1">
              <w:rPr>
                <w:sz w:val="18"/>
                <w:szCs w:val="18"/>
              </w:rPr>
              <w:t>Hfort</w:t>
            </w:r>
          </w:p>
        </w:tc>
        <w:tc>
          <w:tcPr>
            <w:tcW w:w="964" w:type="dxa"/>
            <w:vAlign w:val="center"/>
          </w:tcPr>
          <w:p w14:paraId="5B0FFFDB" w14:textId="77777777" w:rsidR="005967A1" w:rsidRPr="005967A1" w:rsidRDefault="005967A1" w:rsidP="005967A1">
            <w:pPr>
              <w:spacing w:before="0" w:after="0"/>
              <w:jc w:val="center"/>
              <w:rPr>
                <w:sz w:val="18"/>
                <w:szCs w:val="18"/>
              </w:rPr>
            </w:pPr>
          </w:p>
        </w:tc>
        <w:tc>
          <w:tcPr>
            <w:tcW w:w="964" w:type="dxa"/>
            <w:vAlign w:val="center"/>
          </w:tcPr>
          <w:p w14:paraId="0FD7584B" w14:textId="45B85549" w:rsidR="005967A1" w:rsidRPr="005967A1" w:rsidRDefault="005967A1" w:rsidP="005967A1">
            <w:pPr>
              <w:spacing w:before="0" w:after="0"/>
              <w:jc w:val="center"/>
              <w:rPr>
                <w:sz w:val="18"/>
                <w:szCs w:val="18"/>
              </w:rPr>
            </w:pPr>
            <w:r w:rsidRPr="005967A1">
              <w:rPr>
                <w:sz w:val="18"/>
                <w:szCs w:val="18"/>
              </w:rPr>
              <w:t>2,2%</w:t>
            </w:r>
          </w:p>
        </w:tc>
        <w:tc>
          <w:tcPr>
            <w:tcW w:w="850" w:type="dxa"/>
            <w:vAlign w:val="center"/>
          </w:tcPr>
          <w:p w14:paraId="5362DFA8" w14:textId="77777777" w:rsidR="005967A1" w:rsidRPr="005967A1" w:rsidRDefault="005967A1" w:rsidP="005967A1">
            <w:pPr>
              <w:spacing w:before="0" w:after="0"/>
              <w:jc w:val="center"/>
              <w:rPr>
                <w:sz w:val="18"/>
                <w:szCs w:val="18"/>
              </w:rPr>
            </w:pPr>
          </w:p>
        </w:tc>
        <w:tc>
          <w:tcPr>
            <w:tcW w:w="951" w:type="dxa"/>
            <w:vAlign w:val="center"/>
          </w:tcPr>
          <w:p w14:paraId="132B0288" w14:textId="77777777" w:rsidR="005967A1" w:rsidRPr="005967A1" w:rsidRDefault="005967A1" w:rsidP="005967A1">
            <w:pPr>
              <w:spacing w:before="0" w:after="0"/>
              <w:jc w:val="center"/>
              <w:rPr>
                <w:sz w:val="18"/>
                <w:szCs w:val="18"/>
              </w:rPr>
            </w:pPr>
          </w:p>
        </w:tc>
        <w:tc>
          <w:tcPr>
            <w:tcW w:w="1007" w:type="dxa"/>
            <w:vAlign w:val="center"/>
          </w:tcPr>
          <w:p w14:paraId="740CCE5B" w14:textId="77777777" w:rsidR="005967A1" w:rsidRPr="005967A1" w:rsidRDefault="005967A1" w:rsidP="005967A1">
            <w:pPr>
              <w:spacing w:before="0" w:after="0"/>
              <w:jc w:val="center"/>
              <w:rPr>
                <w:sz w:val="18"/>
                <w:szCs w:val="18"/>
              </w:rPr>
            </w:pPr>
          </w:p>
        </w:tc>
        <w:tc>
          <w:tcPr>
            <w:tcW w:w="961" w:type="dxa"/>
            <w:vAlign w:val="center"/>
          </w:tcPr>
          <w:p w14:paraId="2A5566AE" w14:textId="77777777" w:rsidR="005967A1" w:rsidRPr="005967A1" w:rsidRDefault="005967A1" w:rsidP="005967A1">
            <w:pPr>
              <w:spacing w:before="0" w:after="0"/>
              <w:jc w:val="center"/>
              <w:rPr>
                <w:sz w:val="18"/>
                <w:szCs w:val="18"/>
              </w:rPr>
            </w:pPr>
          </w:p>
        </w:tc>
      </w:tr>
      <w:tr w:rsidR="005967A1" w:rsidRPr="00944E5B" w14:paraId="6AB23344" w14:textId="77777777" w:rsidTr="003B5B0B">
        <w:trPr>
          <w:trHeight w:hRule="exact" w:val="397"/>
        </w:trPr>
        <w:tc>
          <w:tcPr>
            <w:tcW w:w="4030" w:type="dxa"/>
            <w:vAlign w:val="center"/>
          </w:tcPr>
          <w:p w14:paraId="21408478" w14:textId="7BD53B0B" w:rsidR="005967A1" w:rsidRPr="005967A1" w:rsidRDefault="005967A1" w:rsidP="005967A1">
            <w:pPr>
              <w:spacing w:before="0" w:after="0"/>
              <w:jc w:val="left"/>
              <w:rPr>
                <w:sz w:val="18"/>
                <w:szCs w:val="18"/>
              </w:rPr>
            </w:pPr>
            <w:r>
              <w:rPr>
                <w:sz w:val="18"/>
                <w:szCs w:val="18"/>
              </w:rPr>
              <w:t>Se verifica 100% cumplimiento</w:t>
            </w:r>
          </w:p>
        </w:tc>
        <w:tc>
          <w:tcPr>
            <w:tcW w:w="764" w:type="dxa"/>
            <w:vAlign w:val="center"/>
          </w:tcPr>
          <w:p w14:paraId="4326A983" w14:textId="60C40D8F" w:rsidR="005967A1" w:rsidRPr="005967A1" w:rsidRDefault="005967A1" w:rsidP="005967A1">
            <w:pPr>
              <w:spacing w:before="0" w:after="0"/>
              <w:jc w:val="center"/>
              <w:rPr>
                <w:sz w:val="18"/>
                <w:szCs w:val="18"/>
              </w:rPr>
            </w:pPr>
            <w:r w:rsidRPr="005967A1">
              <w:rPr>
                <w:sz w:val="18"/>
                <w:szCs w:val="18"/>
              </w:rPr>
              <w:t>Ffort</w:t>
            </w:r>
          </w:p>
        </w:tc>
        <w:tc>
          <w:tcPr>
            <w:tcW w:w="964" w:type="dxa"/>
            <w:vAlign w:val="center"/>
          </w:tcPr>
          <w:p w14:paraId="3D41F017" w14:textId="77AD372E" w:rsidR="005967A1" w:rsidRPr="005967A1" w:rsidRDefault="005967A1" w:rsidP="005967A1">
            <w:pPr>
              <w:spacing w:before="0" w:after="0"/>
              <w:jc w:val="center"/>
              <w:rPr>
                <w:sz w:val="18"/>
                <w:szCs w:val="18"/>
              </w:rPr>
            </w:pPr>
            <w:r w:rsidRPr="005967A1">
              <w:rPr>
                <w:sz w:val="18"/>
                <w:szCs w:val="18"/>
              </w:rPr>
              <w:t>-</w:t>
            </w:r>
          </w:p>
        </w:tc>
        <w:tc>
          <w:tcPr>
            <w:tcW w:w="964" w:type="dxa"/>
            <w:vAlign w:val="center"/>
          </w:tcPr>
          <w:p w14:paraId="25A4729B" w14:textId="77777777" w:rsidR="005967A1" w:rsidRPr="005967A1" w:rsidRDefault="005967A1" w:rsidP="005967A1">
            <w:pPr>
              <w:spacing w:before="0" w:after="0"/>
              <w:jc w:val="center"/>
              <w:rPr>
                <w:sz w:val="18"/>
                <w:szCs w:val="18"/>
              </w:rPr>
            </w:pPr>
          </w:p>
        </w:tc>
        <w:tc>
          <w:tcPr>
            <w:tcW w:w="850" w:type="dxa"/>
            <w:vAlign w:val="center"/>
          </w:tcPr>
          <w:p w14:paraId="30CD6C64" w14:textId="77777777" w:rsidR="005967A1" w:rsidRPr="005967A1" w:rsidRDefault="005967A1" w:rsidP="005967A1">
            <w:pPr>
              <w:spacing w:before="0" w:after="0"/>
              <w:jc w:val="center"/>
              <w:rPr>
                <w:sz w:val="18"/>
                <w:szCs w:val="18"/>
              </w:rPr>
            </w:pPr>
          </w:p>
        </w:tc>
        <w:tc>
          <w:tcPr>
            <w:tcW w:w="951" w:type="dxa"/>
            <w:vAlign w:val="center"/>
          </w:tcPr>
          <w:p w14:paraId="53C40820" w14:textId="77777777" w:rsidR="005967A1" w:rsidRPr="005967A1" w:rsidRDefault="005967A1" w:rsidP="005967A1">
            <w:pPr>
              <w:spacing w:before="0" w:after="0"/>
              <w:jc w:val="center"/>
              <w:rPr>
                <w:sz w:val="18"/>
                <w:szCs w:val="18"/>
              </w:rPr>
            </w:pPr>
          </w:p>
        </w:tc>
        <w:tc>
          <w:tcPr>
            <w:tcW w:w="1007" w:type="dxa"/>
            <w:vAlign w:val="center"/>
          </w:tcPr>
          <w:p w14:paraId="22789EA0" w14:textId="77777777" w:rsidR="005967A1" w:rsidRPr="005967A1" w:rsidRDefault="005967A1" w:rsidP="005967A1">
            <w:pPr>
              <w:spacing w:before="0" w:after="0"/>
              <w:jc w:val="center"/>
              <w:rPr>
                <w:sz w:val="18"/>
                <w:szCs w:val="18"/>
              </w:rPr>
            </w:pPr>
          </w:p>
        </w:tc>
        <w:tc>
          <w:tcPr>
            <w:tcW w:w="961" w:type="dxa"/>
            <w:vAlign w:val="center"/>
          </w:tcPr>
          <w:p w14:paraId="086A224A" w14:textId="77777777" w:rsidR="005967A1" w:rsidRPr="005967A1" w:rsidRDefault="005967A1" w:rsidP="005967A1">
            <w:pPr>
              <w:spacing w:before="0" w:after="0"/>
              <w:jc w:val="center"/>
              <w:rPr>
                <w:sz w:val="18"/>
                <w:szCs w:val="18"/>
              </w:rPr>
            </w:pPr>
          </w:p>
        </w:tc>
      </w:tr>
      <w:tr w:rsidR="005967A1" w:rsidRPr="00944E5B" w14:paraId="4AC256F1" w14:textId="77777777" w:rsidTr="003B5B0B">
        <w:trPr>
          <w:trHeight w:hRule="exact" w:val="397"/>
        </w:trPr>
        <w:tc>
          <w:tcPr>
            <w:tcW w:w="4030" w:type="dxa"/>
            <w:vAlign w:val="center"/>
          </w:tcPr>
          <w:p w14:paraId="5165B55B" w14:textId="01AC9524" w:rsidR="005967A1" w:rsidRPr="005967A1" w:rsidRDefault="005967A1" w:rsidP="005967A1">
            <w:pPr>
              <w:spacing w:before="0" w:after="0"/>
              <w:jc w:val="left"/>
              <w:rPr>
                <w:sz w:val="18"/>
                <w:szCs w:val="18"/>
              </w:rPr>
            </w:pPr>
            <w:r>
              <w:rPr>
                <w:sz w:val="18"/>
                <w:szCs w:val="18"/>
              </w:rPr>
              <w:t>Se verifica 100% cumplimiento</w:t>
            </w:r>
          </w:p>
        </w:tc>
        <w:tc>
          <w:tcPr>
            <w:tcW w:w="764" w:type="dxa"/>
            <w:vAlign w:val="center"/>
          </w:tcPr>
          <w:p w14:paraId="45EB555A" w14:textId="746BC51A" w:rsidR="005967A1" w:rsidRPr="005967A1" w:rsidRDefault="005967A1" w:rsidP="005967A1">
            <w:pPr>
              <w:spacing w:before="0" w:after="0"/>
              <w:jc w:val="center"/>
              <w:rPr>
                <w:sz w:val="18"/>
                <w:szCs w:val="18"/>
              </w:rPr>
            </w:pPr>
            <w:r w:rsidRPr="005967A1">
              <w:rPr>
                <w:sz w:val="18"/>
                <w:szCs w:val="18"/>
              </w:rPr>
              <w:t>Ffort</w:t>
            </w:r>
          </w:p>
        </w:tc>
        <w:tc>
          <w:tcPr>
            <w:tcW w:w="964" w:type="dxa"/>
            <w:vAlign w:val="center"/>
          </w:tcPr>
          <w:p w14:paraId="703629BF" w14:textId="77777777" w:rsidR="005967A1" w:rsidRPr="005967A1" w:rsidRDefault="005967A1" w:rsidP="005967A1">
            <w:pPr>
              <w:spacing w:before="0" w:after="0"/>
              <w:jc w:val="center"/>
              <w:rPr>
                <w:sz w:val="18"/>
                <w:szCs w:val="18"/>
              </w:rPr>
            </w:pPr>
          </w:p>
        </w:tc>
        <w:tc>
          <w:tcPr>
            <w:tcW w:w="964" w:type="dxa"/>
            <w:vAlign w:val="center"/>
          </w:tcPr>
          <w:p w14:paraId="68EC6C3C" w14:textId="671BE70D" w:rsidR="005967A1" w:rsidRPr="005967A1" w:rsidRDefault="005967A1" w:rsidP="005967A1">
            <w:pPr>
              <w:spacing w:before="0" w:after="0"/>
              <w:jc w:val="center"/>
              <w:rPr>
                <w:sz w:val="18"/>
                <w:szCs w:val="18"/>
              </w:rPr>
            </w:pPr>
            <w:r w:rsidRPr="005967A1">
              <w:rPr>
                <w:sz w:val="18"/>
                <w:szCs w:val="18"/>
              </w:rPr>
              <w:t>-</w:t>
            </w:r>
          </w:p>
        </w:tc>
        <w:tc>
          <w:tcPr>
            <w:tcW w:w="850" w:type="dxa"/>
            <w:vAlign w:val="center"/>
          </w:tcPr>
          <w:p w14:paraId="510130B5" w14:textId="77777777" w:rsidR="005967A1" w:rsidRPr="005967A1" w:rsidRDefault="005967A1" w:rsidP="005967A1">
            <w:pPr>
              <w:spacing w:before="0" w:after="0"/>
              <w:jc w:val="center"/>
              <w:rPr>
                <w:sz w:val="18"/>
                <w:szCs w:val="18"/>
              </w:rPr>
            </w:pPr>
          </w:p>
        </w:tc>
        <w:tc>
          <w:tcPr>
            <w:tcW w:w="951" w:type="dxa"/>
            <w:vAlign w:val="center"/>
          </w:tcPr>
          <w:p w14:paraId="35B673B6" w14:textId="77777777" w:rsidR="005967A1" w:rsidRPr="005967A1" w:rsidRDefault="005967A1" w:rsidP="005967A1">
            <w:pPr>
              <w:spacing w:before="0" w:after="0"/>
              <w:jc w:val="center"/>
              <w:rPr>
                <w:sz w:val="18"/>
                <w:szCs w:val="18"/>
              </w:rPr>
            </w:pPr>
          </w:p>
        </w:tc>
        <w:tc>
          <w:tcPr>
            <w:tcW w:w="1007" w:type="dxa"/>
            <w:vAlign w:val="center"/>
          </w:tcPr>
          <w:p w14:paraId="3381CC6F" w14:textId="77777777" w:rsidR="005967A1" w:rsidRPr="005967A1" w:rsidRDefault="005967A1" w:rsidP="005967A1">
            <w:pPr>
              <w:spacing w:before="0" w:after="0"/>
              <w:jc w:val="center"/>
              <w:rPr>
                <w:sz w:val="18"/>
                <w:szCs w:val="18"/>
              </w:rPr>
            </w:pPr>
          </w:p>
        </w:tc>
        <w:tc>
          <w:tcPr>
            <w:tcW w:w="961" w:type="dxa"/>
            <w:vAlign w:val="center"/>
          </w:tcPr>
          <w:p w14:paraId="158C8476" w14:textId="77777777" w:rsidR="005967A1" w:rsidRPr="005967A1" w:rsidRDefault="005967A1" w:rsidP="005967A1">
            <w:pPr>
              <w:spacing w:before="0" w:after="0"/>
              <w:jc w:val="center"/>
              <w:rPr>
                <w:sz w:val="18"/>
                <w:szCs w:val="18"/>
              </w:rPr>
            </w:pPr>
          </w:p>
        </w:tc>
      </w:tr>
      <w:tr w:rsidR="005967A1" w:rsidRPr="00944E5B" w14:paraId="40ED2173" w14:textId="77777777" w:rsidTr="003B5B0B">
        <w:trPr>
          <w:trHeight w:hRule="exact" w:val="397"/>
        </w:trPr>
        <w:tc>
          <w:tcPr>
            <w:tcW w:w="4030" w:type="dxa"/>
            <w:vAlign w:val="center"/>
          </w:tcPr>
          <w:p w14:paraId="1C8E3E9C" w14:textId="0C8DDAD6" w:rsidR="005967A1" w:rsidRPr="005967A1" w:rsidRDefault="005967A1" w:rsidP="005967A1">
            <w:pPr>
              <w:spacing w:before="0" w:after="0"/>
              <w:jc w:val="left"/>
              <w:rPr>
                <w:sz w:val="18"/>
                <w:szCs w:val="18"/>
              </w:rPr>
            </w:pPr>
            <w:r w:rsidRPr="005967A1">
              <w:rPr>
                <w:sz w:val="18"/>
                <w:szCs w:val="18"/>
              </w:rPr>
              <w:t>Ventanas - Torquemada 110 kV C2</w:t>
            </w:r>
          </w:p>
        </w:tc>
        <w:tc>
          <w:tcPr>
            <w:tcW w:w="764" w:type="dxa"/>
            <w:vAlign w:val="center"/>
          </w:tcPr>
          <w:p w14:paraId="18049F18" w14:textId="5CA0BD3A" w:rsidR="005967A1" w:rsidRPr="005967A1" w:rsidRDefault="005967A1" w:rsidP="005967A1">
            <w:pPr>
              <w:spacing w:before="0" w:after="0"/>
              <w:jc w:val="center"/>
              <w:rPr>
                <w:sz w:val="18"/>
                <w:szCs w:val="18"/>
              </w:rPr>
            </w:pPr>
            <w:r w:rsidRPr="005967A1">
              <w:rPr>
                <w:sz w:val="18"/>
                <w:szCs w:val="18"/>
              </w:rPr>
              <w:t>Hprot</w:t>
            </w:r>
          </w:p>
        </w:tc>
        <w:tc>
          <w:tcPr>
            <w:tcW w:w="964" w:type="dxa"/>
            <w:vAlign w:val="center"/>
          </w:tcPr>
          <w:p w14:paraId="04582CF2" w14:textId="77777777" w:rsidR="005967A1" w:rsidRPr="005967A1" w:rsidRDefault="005967A1" w:rsidP="005967A1">
            <w:pPr>
              <w:spacing w:before="0" w:after="0"/>
              <w:jc w:val="center"/>
              <w:rPr>
                <w:sz w:val="18"/>
                <w:szCs w:val="18"/>
              </w:rPr>
            </w:pPr>
          </w:p>
        </w:tc>
        <w:tc>
          <w:tcPr>
            <w:tcW w:w="964" w:type="dxa"/>
            <w:vAlign w:val="center"/>
          </w:tcPr>
          <w:p w14:paraId="45C0EF7E" w14:textId="77777777" w:rsidR="005967A1" w:rsidRPr="005967A1" w:rsidRDefault="005967A1" w:rsidP="005967A1">
            <w:pPr>
              <w:spacing w:before="0" w:after="0"/>
              <w:jc w:val="center"/>
              <w:rPr>
                <w:sz w:val="18"/>
                <w:szCs w:val="18"/>
              </w:rPr>
            </w:pPr>
          </w:p>
        </w:tc>
        <w:tc>
          <w:tcPr>
            <w:tcW w:w="850" w:type="dxa"/>
            <w:vAlign w:val="center"/>
          </w:tcPr>
          <w:p w14:paraId="15B09BBA" w14:textId="1069BEB8" w:rsidR="005967A1" w:rsidRPr="005967A1" w:rsidRDefault="005967A1" w:rsidP="005967A1">
            <w:pPr>
              <w:spacing w:before="0" w:after="0"/>
              <w:jc w:val="center"/>
              <w:rPr>
                <w:sz w:val="18"/>
                <w:szCs w:val="18"/>
              </w:rPr>
            </w:pPr>
            <w:r w:rsidRPr="005967A1">
              <w:rPr>
                <w:sz w:val="18"/>
                <w:szCs w:val="18"/>
              </w:rPr>
              <w:t>9.246%</w:t>
            </w:r>
          </w:p>
        </w:tc>
        <w:tc>
          <w:tcPr>
            <w:tcW w:w="951" w:type="dxa"/>
            <w:vAlign w:val="center"/>
          </w:tcPr>
          <w:p w14:paraId="3352F813" w14:textId="77777777" w:rsidR="005967A1" w:rsidRPr="005967A1" w:rsidRDefault="005967A1" w:rsidP="005967A1">
            <w:pPr>
              <w:spacing w:before="0" w:after="0"/>
              <w:jc w:val="center"/>
              <w:rPr>
                <w:sz w:val="18"/>
                <w:szCs w:val="18"/>
              </w:rPr>
            </w:pPr>
          </w:p>
        </w:tc>
        <w:tc>
          <w:tcPr>
            <w:tcW w:w="1007" w:type="dxa"/>
            <w:vAlign w:val="center"/>
          </w:tcPr>
          <w:p w14:paraId="1103D203" w14:textId="77777777" w:rsidR="005967A1" w:rsidRPr="005967A1" w:rsidRDefault="005967A1" w:rsidP="005967A1">
            <w:pPr>
              <w:spacing w:before="0" w:after="0"/>
              <w:jc w:val="center"/>
              <w:rPr>
                <w:sz w:val="18"/>
                <w:szCs w:val="18"/>
              </w:rPr>
            </w:pPr>
          </w:p>
        </w:tc>
        <w:tc>
          <w:tcPr>
            <w:tcW w:w="961" w:type="dxa"/>
            <w:vAlign w:val="center"/>
          </w:tcPr>
          <w:p w14:paraId="5A9C8026" w14:textId="77777777" w:rsidR="005967A1" w:rsidRPr="005967A1" w:rsidRDefault="005967A1" w:rsidP="005967A1">
            <w:pPr>
              <w:spacing w:before="0" w:after="0"/>
              <w:jc w:val="center"/>
              <w:rPr>
                <w:sz w:val="18"/>
                <w:szCs w:val="18"/>
              </w:rPr>
            </w:pPr>
          </w:p>
        </w:tc>
      </w:tr>
      <w:tr w:rsidR="005967A1" w:rsidRPr="00944E5B" w14:paraId="5C776A96" w14:textId="77777777" w:rsidTr="00B63776">
        <w:trPr>
          <w:trHeight w:hRule="exact" w:val="422"/>
        </w:trPr>
        <w:tc>
          <w:tcPr>
            <w:tcW w:w="4030" w:type="dxa"/>
            <w:vAlign w:val="center"/>
          </w:tcPr>
          <w:p w14:paraId="642904FA" w14:textId="2CCBF089" w:rsidR="005967A1" w:rsidRPr="005967A1" w:rsidRDefault="005967A1" w:rsidP="005967A1">
            <w:pPr>
              <w:spacing w:before="0" w:after="0"/>
              <w:jc w:val="left"/>
              <w:rPr>
                <w:sz w:val="18"/>
                <w:szCs w:val="18"/>
              </w:rPr>
            </w:pPr>
            <w:r w:rsidRPr="005967A1">
              <w:rPr>
                <w:sz w:val="18"/>
                <w:szCs w:val="18"/>
              </w:rPr>
              <w:t>Tap Chacabuco-Tap Recoleta 110KV C2</w:t>
            </w:r>
          </w:p>
        </w:tc>
        <w:tc>
          <w:tcPr>
            <w:tcW w:w="764" w:type="dxa"/>
            <w:vAlign w:val="center"/>
          </w:tcPr>
          <w:p w14:paraId="14B0E09C" w14:textId="34FD163C" w:rsidR="005967A1" w:rsidRPr="005967A1" w:rsidRDefault="005967A1" w:rsidP="005967A1">
            <w:pPr>
              <w:spacing w:before="0" w:after="0"/>
              <w:jc w:val="center"/>
              <w:rPr>
                <w:sz w:val="18"/>
                <w:szCs w:val="18"/>
              </w:rPr>
            </w:pPr>
            <w:r w:rsidRPr="005967A1">
              <w:rPr>
                <w:sz w:val="18"/>
                <w:szCs w:val="18"/>
              </w:rPr>
              <w:t>Hprot</w:t>
            </w:r>
          </w:p>
        </w:tc>
        <w:tc>
          <w:tcPr>
            <w:tcW w:w="964" w:type="dxa"/>
            <w:vAlign w:val="center"/>
          </w:tcPr>
          <w:p w14:paraId="60A588D3" w14:textId="77777777" w:rsidR="005967A1" w:rsidRPr="005967A1" w:rsidRDefault="005967A1" w:rsidP="005967A1">
            <w:pPr>
              <w:spacing w:before="0" w:after="0"/>
              <w:jc w:val="center"/>
              <w:rPr>
                <w:sz w:val="18"/>
                <w:szCs w:val="18"/>
              </w:rPr>
            </w:pPr>
          </w:p>
        </w:tc>
        <w:tc>
          <w:tcPr>
            <w:tcW w:w="964" w:type="dxa"/>
            <w:vAlign w:val="center"/>
          </w:tcPr>
          <w:p w14:paraId="497F03C8" w14:textId="77777777" w:rsidR="005967A1" w:rsidRPr="005967A1" w:rsidRDefault="005967A1" w:rsidP="005967A1">
            <w:pPr>
              <w:spacing w:before="0" w:after="0"/>
              <w:jc w:val="center"/>
              <w:rPr>
                <w:sz w:val="18"/>
                <w:szCs w:val="18"/>
              </w:rPr>
            </w:pPr>
          </w:p>
        </w:tc>
        <w:tc>
          <w:tcPr>
            <w:tcW w:w="850" w:type="dxa"/>
            <w:vAlign w:val="center"/>
          </w:tcPr>
          <w:p w14:paraId="28C0F689" w14:textId="77777777" w:rsidR="005967A1" w:rsidRPr="005967A1" w:rsidRDefault="005967A1" w:rsidP="005967A1">
            <w:pPr>
              <w:spacing w:before="0" w:after="0"/>
              <w:jc w:val="center"/>
              <w:rPr>
                <w:sz w:val="18"/>
                <w:szCs w:val="18"/>
              </w:rPr>
            </w:pPr>
          </w:p>
        </w:tc>
        <w:tc>
          <w:tcPr>
            <w:tcW w:w="951" w:type="dxa"/>
            <w:vAlign w:val="center"/>
          </w:tcPr>
          <w:p w14:paraId="0DBEA84F" w14:textId="0DF57FC3" w:rsidR="005967A1" w:rsidRPr="005967A1" w:rsidRDefault="005967A1" w:rsidP="005967A1">
            <w:pPr>
              <w:spacing w:before="0" w:after="0"/>
              <w:jc w:val="center"/>
              <w:rPr>
                <w:sz w:val="18"/>
                <w:szCs w:val="18"/>
              </w:rPr>
            </w:pPr>
            <w:r w:rsidRPr="005967A1">
              <w:rPr>
                <w:sz w:val="18"/>
                <w:szCs w:val="18"/>
              </w:rPr>
              <w:t>0,1%</w:t>
            </w:r>
          </w:p>
        </w:tc>
        <w:tc>
          <w:tcPr>
            <w:tcW w:w="1007" w:type="dxa"/>
            <w:vAlign w:val="center"/>
          </w:tcPr>
          <w:p w14:paraId="664B9D90" w14:textId="77777777" w:rsidR="005967A1" w:rsidRPr="005967A1" w:rsidRDefault="005967A1" w:rsidP="005967A1">
            <w:pPr>
              <w:spacing w:before="0" w:after="0"/>
              <w:jc w:val="center"/>
              <w:rPr>
                <w:sz w:val="18"/>
                <w:szCs w:val="18"/>
              </w:rPr>
            </w:pPr>
          </w:p>
        </w:tc>
        <w:tc>
          <w:tcPr>
            <w:tcW w:w="961" w:type="dxa"/>
            <w:vAlign w:val="center"/>
          </w:tcPr>
          <w:p w14:paraId="7DE8865C" w14:textId="77777777" w:rsidR="005967A1" w:rsidRPr="005967A1" w:rsidRDefault="005967A1" w:rsidP="005967A1">
            <w:pPr>
              <w:spacing w:before="0" w:after="0"/>
              <w:jc w:val="center"/>
              <w:rPr>
                <w:sz w:val="18"/>
                <w:szCs w:val="18"/>
              </w:rPr>
            </w:pPr>
          </w:p>
        </w:tc>
      </w:tr>
      <w:tr w:rsidR="005967A1" w:rsidRPr="00944E5B" w14:paraId="2012B072" w14:textId="77777777" w:rsidTr="003B5B0B">
        <w:trPr>
          <w:trHeight w:hRule="exact" w:val="683"/>
        </w:trPr>
        <w:tc>
          <w:tcPr>
            <w:tcW w:w="4030" w:type="dxa"/>
            <w:vAlign w:val="center"/>
          </w:tcPr>
          <w:p w14:paraId="1E330AD3" w14:textId="77777777" w:rsidR="005967A1" w:rsidRPr="005967A1" w:rsidRDefault="005967A1" w:rsidP="005967A1">
            <w:pPr>
              <w:spacing w:before="0" w:after="0"/>
              <w:jc w:val="left"/>
              <w:rPr>
                <w:sz w:val="18"/>
                <w:szCs w:val="18"/>
              </w:rPr>
            </w:pPr>
            <w:r w:rsidRPr="005967A1">
              <w:rPr>
                <w:sz w:val="18"/>
                <w:szCs w:val="18"/>
              </w:rPr>
              <w:t>Parral - Monterrico 154 kV C1</w:t>
            </w:r>
          </w:p>
          <w:p w14:paraId="2732EFDC" w14:textId="77777777" w:rsidR="005967A1" w:rsidRPr="005967A1" w:rsidRDefault="005967A1" w:rsidP="005967A1">
            <w:pPr>
              <w:spacing w:before="0" w:after="0"/>
              <w:jc w:val="left"/>
              <w:rPr>
                <w:sz w:val="18"/>
                <w:szCs w:val="18"/>
              </w:rPr>
            </w:pPr>
            <w:r w:rsidRPr="005967A1">
              <w:rPr>
                <w:sz w:val="18"/>
                <w:szCs w:val="18"/>
              </w:rPr>
              <w:t>Monterrico - Charrúa 154 kV C1</w:t>
            </w:r>
          </w:p>
          <w:p w14:paraId="0F798066" w14:textId="13DC4DC7" w:rsidR="005967A1" w:rsidRPr="005967A1" w:rsidRDefault="005967A1" w:rsidP="005967A1">
            <w:pPr>
              <w:spacing w:before="0" w:after="0"/>
              <w:jc w:val="left"/>
              <w:rPr>
                <w:sz w:val="18"/>
                <w:szCs w:val="18"/>
              </w:rPr>
            </w:pPr>
          </w:p>
        </w:tc>
        <w:tc>
          <w:tcPr>
            <w:tcW w:w="764" w:type="dxa"/>
            <w:vAlign w:val="center"/>
          </w:tcPr>
          <w:p w14:paraId="433F7856" w14:textId="77040403" w:rsidR="005967A1" w:rsidRPr="005967A1" w:rsidRDefault="005967A1" w:rsidP="005967A1">
            <w:pPr>
              <w:spacing w:before="0" w:after="0"/>
              <w:jc w:val="center"/>
              <w:rPr>
                <w:sz w:val="18"/>
                <w:szCs w:val="18"/>
              </w:rPr>
            </w:pPr>
            <w:r w:rsidRPr="005967A1">
              <w:rPr>
                <w:sz w:val="18"/>
                <w:szCs w:val="18"/>
              </w:rPr>
              <w:t>Hfort</w:t>
            </w:r>
          </w:p>
        </w:tc>
        <w:tc>
          <w:tcPr>
            <w:tcW w:w="964" w:type="dxa"/>
            <w:vAlign w:val="center"/>
          </w:tcPr>
          <w:p w14:paraId="74F84651" w14:textId="77777777" w:rsidR="005967A1" w:rsidRPr="005967A1" w:rsidRDefault="005967A1" w:rsidP="005967A1">
            <w:pPr>
              <w:spacing w:before="0" w:after="0"/>
              <w:jc w:val="center"/>
              <w:rPr>
                <w:sz w:val="18"/>
                <w:szCs w:val="18"/>
              </w:rPr>
            </w:pPr>
          </w:p>
        </w:tc>
        <w:tc>
          <w:tcPr>
            <w:tcW w:w="964" w:type="dxa"/>
            <w:vAlign w:val="center"/>
          </w:tcPr>
          <w:p w14:paraId="73AE91C6" w14:textId="77777777" w:rsidR="005967A1" w:rsidRPr="005967A1" w:rsidRDefault="005967A1" w:rsidP="005967A1">
            <w:pPr>
              <w:spacing w:before="0" w:after="0"/>
              <w:jc w:val="center"/>
              <w:rPr>
                <w:sz w:val="18"/>
                <w:szCs w:val="18"/>
              </w:rPr>
            </w:pPr>
          </w:p>
        </w:tc>
        <w:tc>
          <w:tcPr>
            <w:tcW w:w="850" w:type="dxa"/>
            <w:vAlign w:val="center"/>
          </w:tcPr>
          <w:p w14:paraId="0B1B5EFB" w14:textId="53F6F0AE" w:rsidR="005967A1" w:rsidRPr="005967A1" w:rsidRDefault="005967A1" w:rsidP="005967A1">
            <w:pPr>
              <w:spacing w:before="0" w:after="0"/>
              <w:jc w:val="center"/>
              <w:rPr>
                <w:sz w:val="18"/>
                <w:szCs w:val="18"/>
              </w:rPr>
            </w:pPr>
            <w:r w:rsidRPr="005967A1">
              <w:rPr>
                <w:sz w:val="18"/>
                <w:szCs w:val="18"/>
              </w:rPr>
              <w:t>558%</w:t>
            </w:r>
          </w:p>
        </w:tc>
        <w:tc>
          <w:tcPr>
            <w:tcW w:w="951" w:type="dxa"/>
            <w:vAlign w:val="center"/>
          </w:tcPr>
          <w:p w14:paraId="34177503" w14:textId="77777777" w:rsidR="005967A1" w:rsidRPr="005967A1" w:rsidRDefault="005967A1" w:rsidP="005967A1">
            <w:pPr>
              <w:spacing w:before="0" w:after="0"/>
              <w:jc w:val="center"/>
              <w:rPr>
                <w:sz w:val="18"/>
                <w:szCs w:val="18"/>
              </w:rPr>
            </w:pPr>
          </w:p>
        </w:tc>
        <w:tc>
          <w:tcPr>
            <w:tcW w:w="1007" w:type="dxa"/>
            <w:vAlign w:val="center"/>
          </w:tcPr>
          <w:p w14:paraId="02F0C5EA" w14:textId="77777777" w:rsidR="005967A1" w:rsidRPr="005967A1" w:rsidRDefault="005967A1" w:rsidP="005967A1">
            <w:pPr>
              <w:spacing w:before="0" w:after="0"/>
              <w:jc w:val="center"/>
              <w:rPr>
                <w:sz w:val="18"/>
                <w:szCs w:val="18"/>
              </w:rPr>
            </w:pPr>
          </w:p>
        </w:tc>
        <w:tc>
          <w:tcPr>
            <w:tcW w:w="961" w:type="dxa"/>
            <w:vAlign w:val="center"/>
          </w:tcPr>
          <w:p w14:paraId="69E562F8" w14:textId="77777777" w:rsidR="005967A1" w:rsidRPr="005967A1" w:rsidRDefault="005967A1" w:rsidP="005967A1">
            <w:pPr>
              <w:spacing w:before="0" w:after="0"/>
              <w:jc w:val="center"/>
              <w:rPr>
                <w:sz w:val="18"/>
                <w:szCs w:val="18"/>
              </w:rPr>
            </w:pPr>
          </w:p>
        </w:tc>
      </w:tr>
      <w:tr w:rsidR="005967A1" w:rsidRPr="00944E5B" w14:paraId="25AB7DA1" w14:textId="77777777" w:rsidTr="002E6FE6">
        <w:trPr>
          <w:trHeight w:hRule="exact" w:val="1173"/>
        </w:trPr>
        <w:tc>
          <w:tcPr>
            <w:tcW w:w="4030" w:type="dxa"/>
            <w:vAlign w:val="center"/>
          </w:tcPr>
          <w:p w14:paraId="0DF7306E" w14:textId="77777777" w:rsidR="005967A1" w:rsidRPr="005967A1" w:rsidRDefault="005967A1" w:rsidP="005967A1">
            <w:pPr>
              <w:spacing w:before="0" w:after="0"/>
              <w:jc w:val="left"/>
              <w:rPr>
                <w:sz w:val="18"/>
                <w:szCs w:val="18"/>
              </w:rPr>
            </w:pPr>
            <w:r w:rsidRPr="005967A1">
              <w:rPr>
                <w:sz w:val="18"/>
                <w:szCs w:val="18"/>
              </w:rPr>
              <w:t>Ventanas-Torquemada 110KV C2</w:t>
            </w:r>
          </w:p>
          <w:p w14:paraId="5F099C96" w14:textId="77777777" w:rsidR="005967A1" w:rsidRPr="005967A1" w:rsidRDefault="005967A1" w:rsidP="005967A1">
            <w:pPr>
              <w:spacing w:before="0" w:after="0"/>
              <w:jc w:val="left"/>
              <w:rPr>
                <w:sz w:val="18"/>
                <w:szCs w:val="18"/>
              </w:rPr>
            </w:pPr>
            <w:r w:rsidRPr="005967A1">
              <w:rPr>
                <w:sz w:val="18"/>
                <w:szCs w:val="18"/>
              </w:rPr>
              <w:t>Los Maquis Transnet -Panguilemo 66KV kV</w:t>
            </w:r>
          </w:p>
          <w:p w14:paraId="0EC92247" w14:textId="77777777" w:rsidR="005967A1" w:rsidRPr="005967A1" w:rsidRDefault="005967A1" w:rsidP="005967A1">
            <w:pPr>
              <w:spacing w:before="0" w:after="0"/>
              <w:jc w:val="left"/>
              <w:rPr>
                <w:sz w:val="18"/>
                <w:szCs w:val="18"/>
              </w:rPr>
            </w:pPr>
            <w:r w:rsidRPr="005967A1">
              <w:rPr>
                <w:sz w:val="18"/>
                <w:szCs w:val="18"/>
              </w:rPr>
              <w:t>Panguilemo Talca 66 KV C1</w:t>
            </w:r>
          </w:p>
          <w:p w14:paraId="5534B3F7" w14:textId="77777777" w:rsidR="005967A1" w:rsidRPr="005967A1" w:rsidRDefault="005967A1" w:rsidP="005967A1">
            <w:pPr>
              <w:spacing w:before="0" w:after="0"/>
              <w:jc w:val="left"/>
              <w:rPr>
                <w:sz w:val="18"/>
                <w:szCs w:val="18"/>
              </w:rPr>
            </w:pPr>
          </w:p>
          <w:p w14:paraId="61E8F115" w14:textId="77777777" w:rsidR="005967A1" w:rsidRPr="005967A1" w:rsidRDefault="005967A1" w:rsidP="005967A1">
            <w:pPr>
              <w:spacing w:before="0" w:after="0"/>
              <w:jc w:val="left"/>
              <w:rPr>
                <w:sz w:val="18"/>
                <w:szCs w:val="18"/>
              </w:rPr>
            </w:pPr>
          </w:p>
          <w:p w14:paraId="4075911D" w14:textId="77777777" w:rsidR="005967A1" w:rsidRPr="005967A1" w:rsidRDefault="005967A1" w:rsidP="005967A1">
            <w:pPr>
              <w:spacing w:before="0" w:after="0"/>
              <w:jc w:val="left"/>
              <w:rPr>
                <w:sz w:val="18"/>
                <w:szCs w:val="18"/>
              </w:rPr>
            </w:pPr>
          </w:p>
          <w:p w14:paraId="794CE13F" w14:textId="77777777" w:rsidR="005967A1" w:rsidRPr="005967A1" w:rsidRDefault="005967A1" w:rsidP="005967A1">
            <w:pPr>
              <w:spacing w:before="0" w:after="0"/>
              <w:jc w:val="left"/>
              <w:rPr>
                <w:sz w:val="18"/>
                <w:szCs w:val="18"/>
              </w:rPr>
            </w:pPr>
          </w:p>
          <w:p w14:paraId="2CBFA3D2" w14:textId="156A1451" w:rsidR="005967A1" w:rsidRPr="005967A1" w:rsidRDefault="005967A1" w:rsidP="005967A1">
            <w:pPr>
              <w:spacing w:before="0" w:after="0"/>
              <w:jc w:val="left"/>
              <w:rPr>
                <w:sz w:val="18"/>
                <w:szCs w:val="18"/>
              </w:rPr>
            </w:pPr>
            <w:r w:rsidRPr="005967A1">
              <w:rPr>
                <w:sz w:val="18"/>
                <w:szCs w:val="18"/>
              </w:rPr>
              <w:t>Esperanza - Tap F Chagres 110 kV C1</w:t>
            </w:r>
          </w:p>
        </w:tc>
        <w:tc>
          <w:tcPr>
            <w:tcW w:w="764" w:type="dxa"/>
            <w:vAlign w:val="center"/>
          </w:tcPr>
          <w:p w14:paraId="4EFC67C9" w14:textId="31C74D6B" w:rsidR="005967A1" w:rsidRPr="005967A1" w:rsidRDefault="005967A1" w:rsidP="005967A1">
            <w:pPr>
              <w:spacing w:before="0" w:after="0"/>
              <w:jc w:val="center"/>
              <w:rPr>
                <w:sz w:val="18"/>
                <w:szCs w:val="18"/>
              </w:rPr>
            </w:pPr>
            <w:r w:rsidRPr="005967A1">
              <w:rPr>
                <w:sz w:val="18"/>
                <w:szCs w:val="18"/>
              </w:rPr>
              <w:t>Hfort</w:t>
            </w:r>
          </w:p>
        </w:tc>
        <w:tc>
          <w:tcPr>
            <w:tcW w:w="964" w:type="dxa"/>
            <w:vAlign w:val="center"/>
          </w:tcPr>
          <w:p w14:paraId="44266236" w14:textId="77777777" w:rsidR="005967A1" w:rsidRPr="005967A1" w:rsidRDefault="005967A1" w:rsidP="005967A1">
            <w:pPr>
              <w:spacing w:before="0" w:after="0"/>
              <w:jc w:val="center"/>
              <w:rPr>
                <w:sz w:val="18"/>
                <w:szCs w:val="18"/>
              </w:rPr>
            </w:pPr>
          </w:p>
        </w:tc>
        <w:tc>
          <w:tcPr>
            <w:tcW w:w="964" w:type="dxa"/>
            <w:vAlign w:val="center"/>
          </w:tcPr>
          <w:p w14:paraId="0F928371" w14:textId="77777777" w:rsidR="005967A1" w:rsidRPr="005967A1" w:rsidRDefault="005967A1" w:rsidP="005967A1">
            <w:pPr>
              <w:spacing w:before="0" w:after="0"/>
              <w:jc w:val="center"/>
              <w:rPr>
                <w:sz w:val="18"/>
                <w:szCs w:val="18"/>
              </w:rPr>
            </w:pPr>
          </w:p>
        </w:tc>
        <w:tc>
          <w:tcPr>
            <w:tcW w:w="850" w:type="dxa"/>
            <w:vAlign w:val="center"/>
          </w:tcPr>
          <w:p w14:paraId="02C94705" w14:textId="77777777" w:rsidR="005967A1" w:rsidRPr="005967A1" w:rsidRDefault="005967A1" w:rsidP="005967A1">
            <w:pPr>
              <w:spacing w:before="0" w:after="0"/>
              <w:jc w:val="center"/>
              <w:rPr>
                <w:sz w:val="18"/>
                <w:szCs w:val="18"/>
              </w:rPr>
            </w:pPr>
          </w:p>
        </w:tc>
        <w:tc>
          <w:tcPr>
            <w:tcW w:w="951" w:type="dxa"/>
            <w:vAlign w:val="center"/>
          </w:tcPr>
          <w:p w14:paraId="7EB62A6F" w14:textId="661A19BE" w:rsidR="005967A1" w:rsidRPr="005967A1" w:rsidRDefault="005967A1" w:rsidP="005967A1">
            <w:pPr>
              <w:spacing w:before="0" w:after="0"/>
              <w:jc w:val="center"/>
              <w:rPr>
                <w:sz w:val="18"/>
                <w:szCs w:val="18"/>
              </w:rPr>
            </w:pPr>
            <w:r w:rsidRPr="005967A1">
              <w:rPr>
                <w:sz w:val="18"/>
                <w:szCs w:val="18"/>
              </w:rPr>
              <w:t>12%</w:t>
            </w:r>
          </w:p>
        </w:tc>
        <w:tc>
          <w:tcPr>
            <w:tcW w:w="1007" w:type="dxa"/>
            <w:vAlign w:val="center"/>
          </w:tcPr>
          <w:p w14:paraId="2D86D731" w14:textId="77777777" w:rsidR="005967A1" w:rsidRPr="005967A1" w:rsidRDefault="005967A1" w:rsidP="005967A1">
            <w:pPr>
              <w:spacing w:before="0" w:after="0"/>
              <w:jc w:val="center"/>
              <w:rPr>
                <w:sz w:val="18"/>
                <w:szCs w:val="18"/>
              </w:rPr>
            </w:pPr>
          </w:p>
        </w:tc>
        <w:tc>
          <w:tcPr>
            <w:tcW w:w="961" w:type="dxa"/>
            <w:vAlign w:val="center"/>
          </w:tcPr>
          <w:p w14:paraId="28FA4EBD" w14:textId="77777777" w:rsidR="005967A1" w:rsidRPr="005967A1" w:rsidRDefault="005967A1" w:rsidP="005967A1">
            <w:pPr>
              <w:spacing w:before="0" w:after="0"/>
              <w:jc w:val="center"/>
              <w:rPr>
                <w:sz w:val="18"/>
                <w:szCs w:val="18"/>
              </w:rPr>
            </w:pPr>
          </w:p>
        </w:tc>
      </w:tr>
      <w:tr w:rsidR="005967A1" w:rsidRPr="00944E5B" w14:paraId="4C7C9A92" w14:textId="77777777" w:rsidTr="003B5B0B">
        <w:trPr>
          <w:trHeight w:hRule="exact" w:val="397"/>
        </w:trPr>
        <w:tc>
          <w:tcPr>
            <w:tcW w:w="4030" w:type="dxa"/>
            <w:vAlign w:val="center"/>
          </w:tcPr>
          <w:p w14:paraId="3EFF6294" w14:textId="331B4644" w:rsidR="005967A1" w:rsidRPr="005967A1" w:rsidRDefault="005967A1" w:rsidP="005967A1">
            <w:pPr>
              <w:spacing w:before="0" w:after="0"/>
              <w:jc w:val="left"/>
              <w:rPr>
                <w:sz w:val="18"/>
                <w:szCs w:val="18"/>
              </w:rPr>
            </w:pPr>
            <w:r w:rsidRPr="005967A1">
              <w:rPr>
                <w:sz w:val="18"/>
                <w:szCs w:val="18"/>
              </w:rPr>
              <w:t>Santa Rosa Transnet - Alhué 66 kV C1</w:t>
            </w:r>
          </w:p>
        </w:tc>
        <w:tc>
          <w:tcPr>
            <w:tcW w:w="764" w:type="dxa"/>
            <w:vAlign w:val="center"/>
          </w:tcPr>
          <w:p w14:paraId="6675A07B" w14:textId="59EF0B5C" w:rsidR="005967A1" w:rsidRPr="005967A1" w:rsidRDefault="005967A1" w:rsidP="005967A1">
            <w:pPr>
              <w:spacing w:before="0" w:after="0"/>
              <w:jc w:val="center"/>
              <w:rPr>
                <w:sz w:val="18"/>
                <w:szCs w:val="18"/>
              </w:rPr>
            </w:pPr>
            <w:r w:rsidRPr="005967A1">
              <w:rPr>
                <w:sz w:val="18"/>
                <w:szCs w:val="18"/>
              </w:rPr>
              <w:t>Ffort</w:t>
            </w:r>
          </w:p>
        </w:tc>
        <w:tc>
          <w:tcPr>
            <w:tcW w:w="964" w:type="dxa"/>
            <w:vAlign w:val="center"/>
          </w:tcPr>
          <w:p w14:paraId="499A6AEC" w14:textId="77777777" w:rsidR="005967A1" w:rsidRPr="005967A1" w:rsidRDefault="005967A1" w:rsidP="005967A1">
            <w:pPr>
              <w:spacing w:before="0" w:after="0"/>
              <w:jc w:val="center"/>
              <w:rPr>
                <w:sz w:val="18"/>
                <w:szCs w:val="18"/>
              </w:rPr>
            </w:pPr>
          </w:p>
        </w:tc>
        <w:tc>
          <w:tcPr>
            <w:tcW w:w="964" w:type="dxa"/>
            <w:vAlign w:val="center"/>
          </w:tcPr>
          <w:p w14:paraId="4404AA37" w14:textId="77777777" w:rsidR="005967A1" w:rsidRPr="005967A1" w:rsidRDefault="005967A1" w:rsidP="005967A1">
            <w:pPr>
              <w:spacing w:before="0" w:after="0"/>
              <w:jc w:val="center"/>
              <w:rPr>
                <w:sz w:val="18"/>
                <w:szCs w:val="18"/>
              </w:rPr>
            </w:pPr>
          </w:p>
        </w:tc>
        <w:tc>
          <w:tcPr>
            <w:tcW w:w="850" w:type="dxa"/>
            <w:vAlign w:val="center"/>
          </w:tcPr>
          <w:p w14:paraId="0202C897" w14:textId="347439A2" w:rsidR="005967A1" w:rsidRPr="005967A1" w:rsidRDefault="005967A1" w:rsidP="005967A1">
            <w:pPr>
              <w:spacing w:before="0" w:after="0"/>
              <w:jc w:val="center"/>
              <w:rPr>
                <w:sz w:val="18"/>
                <w:szCs w:val="18"/>
              </w:rPr>
            </w:pPr>
            <w:r w:rsidRPr="005967A1">
              <w:rPr>
                <w:sz w:val="18"/>
                <w:szCs w:val="18"/>
              </w:rPr>
              <w:t>68%</w:t>
            </w:r>
          </w:p>
        </w:tc>
        <w:tc>
          <w:tcPr>
            <w:tcW w:w="951" w:type="dxa"/>
            <w:vAlign w:val="center"/>
          </w:tcPr>
          <w:p w14:paraId="3FD5FCB5" w14:textId="77777777" w:rsidR="005967A1" w:rsidRPr="005967A1" w:rsidRDefault="005967A1" w:rsidP="005967A1">
            <w:pPr>
              <w:spacing w:before="0" w:after="0"/>
              <w:jc w:val="center"/>
              <w:rPr>
                <w:sz w:val="18"/>
                <w:szCs w:val="18"/>
              </w:rPr>
            </w:pPr>
          </w:p>
        </w:tc>
        <w:tc>
          <w:tcPr>
            <w:tcW w:w="1007" w:type="dxa"/>
            <w:vAlign w:val="center"/>
          </w:tcPr>
          <w:p w14:paraId="0F4C79E9" w14:textId="77777777" w:rsidR="005967A1" w:rsidRPr="005967A1" w:rsidRDefault="005967A1" w:rsidP="005967A1">
            <w:pPr>
              <w:spacing w:before="0" w:after="0"/>
              <w:jc w:val="center"/>
              <w:rPr>
                <w:sz w:val="18"/>
                <w:szCs w:val="18"/>
              </w:rPr>
            </w:pPr>
          </w:p>
        </w:tc>
        <w:tc>
          <w:tcPr>
            <w:tcW w:w="961" w:type="dxa"/>
            <w:vAlign w:val="center"/>
          </w:tcPr>
          <w:p w14:paraId="03ED9513" w14:textId="77777777" w:rsidR="005967A1" w:rsidRPr="005967A1" w:rsidRDefault="005967A1" w:rsidP="005967A1">
            <w:pPr>
              <w:spacing w:before="0" w:after="0"/>
              <w:jc w:val="center"/>
              <w:rPr>
                <w:sz w:val="18"/>
                <w:szCs w:val="18"/>
              </w:rPr>
            </w:pPr>
          </w:p>
        </w:tc>
      </w:tr>
      <w:tr w:rsidR="005967A1" w:rsidRPr="00944E5B" w14:paraId="29BC8AE3" w14:textId="77777777" w:rsidTr="00C71B58">
        <w:trPr>
          <w:trHeight w:hRule="exact" w:val="445"/>
        </w:trPr>
        <w:tc>
          <w:tcPr>
            <w:tcW w:w="4030" w:type="dxa"/>
            <w:vAlign w:val="center"/>
          </w:tcPr>
          <w:p w14:paraId="69D3D58A" w14:textId="77777777" w:rsidR="005967A1" w:rsidRPr="005967A1" w:rsidRDefault="005967A1" w:rsidP="005967A1">
            <w:pPr>
              <w:spacing w:before="0" w:after="0"/>
              <w:jc w:val="left"/>
              <w:rPr>
                <w:sz w:val="18"/>
                <w:szCs w:val="18"/>
              </w:rPr>
            </w:pPr>
            <w:r w:rsidRPr="005967A1">
              <w:rPr>
                <w:sz w:val="18"/>
                <w:szCs w:val="18"/>
              </w:rPr>
              <w:t>Nirivilo- Constitución 66KV C1</w:t>
            </w:r>
          </w:p>
          <w:p w14:paraId="7330C399" w14:textId="74CE898B" w:rsidR="005967A1" w:rsidRPr="005967A1" w:rsidRDefault="005967A1" w:rsidP="005967A1">
            <w:pPr>
              <w:spacing w:before="0" w:after="0"/>
              <w:jc w:val="left"/>
              <w:rPr>
                <w:sz w:val="18"/>
                <w:szCs w:val="18"/>
              </w:rPr>
            </w:pPr>
          </w:p>
        </w:tc>
        <w:tc>
          <w:tcPr>
            <w:tcW w:w="764" w:type="dxa"/>
            <w:vAlign w:val="center"/>
          </w:tcPr>
          <w:p w14:paraId="30CCB846" w14:textId="596D2E10" w:rsidR="005967A1" w:rsidRPr="005967A1" w:rsidRDefault="005967A1" w:rsidP="005967A1">
            <w:pPr>
              <w:spacing w:before="0" w:after="0"/>
              <w:jc w:val="center"/>
              <w:rPr>
                <w:sz w:val="18"/>
                <w:szCs w:val="18"/>
              </w:rPr>
            </w:pPr>
            <w:r w:rsidRPr="005967A1">
              <w:rPr>
                <w:sz w:val="18"/>
                <w:szCs w:val="18"/>
              </w:rPr>
              <w:t>Ffort</w:t>
            </w:r>
          </w:p>
        </w:tc>
        <w:tc>
          <w:tcPr>
            <w:tcW w:w="964" w:type="dxa"/>
            <w:vAlign w:val="center"/>
          </w:tcPr>
          <w:p w14:paraId="38C61A4A" w14:textId="77777777" w:rsidR="005967A1" w:rsidRPr="005967A1" w:rsidRDefault="005967A1" w:rsidP="005967A1">
            <w:pPr>
              <w:spacing w:before="0" w:after="0"/>
              <w:jc w:val="center"/>
              <w:rPr>
                <w:sz w:val="18"/>
                <w:szCs w:val="18"/>
              </w:rPr>
            </w:pPr>
          </w:p>
        </w:tc>
        <w:tc>
          <w:tcPr>
            <w:tcW w:w="964" w:type="dxa"/>
            <w:vAlign w:val="center"/>
          </w:tcPr>
          <w:p w14:paraId="22EB5FF4" w14:textId="77777777" w:rsidR="005967A1" w:rsidRPr="005967A1" w:rsidRDefault="005967A1" w:rsidP="005967A1">
            <w:pPr>
              <w:spacing w:before="0" w:after="0"/>
              <w:jc w:val="center"/>
              <w:rPr>
                <w:sz w:val="18"/>
                <w:szCs w:val="18"/>
              </w:rPr>
            </w:pPr>
          </w:p>
        </w:tc>
        <w:tc>
          <w:tcPr>
            <w:tcW w:w="850" w:type="dxa"/>
            <w:vAlign w:val="center"/>
          </w:tcPr>
          <w:p w14:paraId="3ACCC9AA" w14:textId="77777777" w:rsidR="005967A1" w:rsidRPr="005967A1" w:rsidRDefault="005967A1" w:rsidP="005967A1">
            <w:pPr>
              <w:spacing w:before="0" w:after="0"/>
              <w:jc w:val="center"/>
              <w:rPr>
                <w:sz w:val="18"/>
                <w:szCs w:val="18"/>
              </w:rPr>
            </w:pPr>
          </w:p>
        </w:tc>
        <w:tc>
          <w:tcPr>
            <w:tcW w:w="951" w:type="dxa"/>
            <w:vAlign w:val="center"/>
          </w:tcPr>
          <w:p w14:paraId="5D61572C" w14:textId="5AA12C55" w:rsidR="005967A1" w:rsidRPr="005967A1" w:rsidRDefault="005967A1" w:rsidP="005967A1">
            <w:pPr>
              <w:spacing w:before="0" w:after="0"/>
              <w:jc w:val="center"/>
              <w:rPr>
                <w:sz w:val="18"/>
                <w:szCs w:val="18"/>
              </w:rPr>
            </w:pPr>
            <w:r w:rsidRPr="005967A1">
              <w:rPr>
                <w:sz w:val="18"/>
                <w:szCs w:val="18"/>
              </w:rPr>
              <w:t>4,0%</w:t>
            </w:r>
          </w:p>
        </w:tc>
        <w:tc>
          <w:tcPr>
            <w:tcW w:w="1007" w:type="dxa"/>
            <w:vAlign w:val="center"/>
          </w:tcPr>
          <w:p w14:paraId="7A5A19B5" w14:textId="77777777" w:rsidR="005967A1" w:rsidRPr="005967A1" w:rsidRDefault="005967A1" w:rsidP="005967A1">
            <w:pPr>
              <w:spacing w:before="0" w:after="0"/>
              <w:jc w:val="center"/>
              <w:rPr>
                <w:sz w:val="18"/>
                <w:szCs w:val="18"/>
              </w:rPr>
            </w:pPr>
          </w:p>
        </w:tc>
        <w:tc>
          <w:tcPr>
            <w:tcW w:w="961" w:type="dxa"/>
            <w:vAlign w:val="center"/>
          </w:tcPr>
          <w:p w14:paraId="6D993614" w14:textId="77777777" w:rsidR="005967A1" w:rsidRPr="005967A1" w:rsidRDefault="005967A1" w:rsidP="005967A1">
            <w:pPr>
              <w:spacing w:before="0" w:after="0"/>
              <w:jc w:val="center"/>
              <w:rPr>
                <w:sz w:val="18"/>
                <w:szCs w:val="18"/>
              </w:rPr>
            </w:pPr>
          </w:p>
        </w:tc>
      </w:tr>
      <w:tr w:rsidR="005967A1" w:rsidRPr="00944E5B" w14:paraId="7E502808" w14:textId="77777777" w:rsidTr="003B5B0B">
        <w:trPr>
          <w:trHeight w:hRule="exact" w:val="397"/>
        </w:trPr>
        <w:tc>
          <w:tcPr>
            <w:tcW w:w="4030" w:type="dxa"/>
            <w:vAlign w:val="center"/>
          </w:tcPr>
          <w:p w14:paraId="4128F66A" w14:textId="3D3A866D" w:rsidR="005967A1" w:rsidRPr="005967A1" w:rsidRDefault="005967A1" w:rsidP="005967A1">
            <w:pPr>
              <w:spacing w:before="0" w:after="0"/>
              <w:jc w:val="left"/>
              <w:rPr>
                <w:sz w:val="18"/>
                <w:szCs w:val="18"/>
              </w:rPr>
            </w:pPr>
            <w:r w:rsidRPr="005967A1">
              <w:rPr>
                <w:sz w:val="18"/>
                <w:szCs w:val="18"/>
              </w:rPr>
              <w:t>Tap La Laja – Maitenes 110KV C2</w:t>
            </w:r>
          </w:p>
        </w:tc>
        <w:tc>
          <w:tcPr>
            <w:tcW w:w="764" w:type="dxa"/>
            <w:vAlign w:val="center"/>
          </w:tcPr>
          <w:p w14:paraId="5B821314" w14:textId="09C6F80E" w:rsidR="005967A1" w:rsidRPr="005967A1" w:rsidRDefault="005967A1" w:rsidP="005967A1">
            <w:pPr>
              <w:spacing w:before="0" w:after="0"/>
              <w:jc w:val="center"/>
              <w:rPr>
                <w:sz w:val="18"/>
                <w:szCs w:val="18"/>
              </w:rPr>
            </w:pPr>
            <w:r w:rsidRPr="005967A1">
              <w:rPr>
                <w:sz w:val="18"/>
                <w:szCs w:val="18"/>
              </w:rPr>
              <w:t>Hprot</w:t>
            </w:r>
          </w:p>
        </w:tc>
        <w:tc>
          <w:tcPr>
            <w:tcW w:w="964" w:type="dxa"/>
            <w:vAlign w:val="center"/>
          </w:tcPr>
          <w:p w14:paraId="2822C68D" w14:textId="77777777" w:rsidR="005967A1" w:rsidRPr="005967A1" w:rsidRDefault="005967A1" w:rsidP="005967A1">
            <w:pPr>
              <w:spacing w:before="0" w:after="0"/>
              <w:jc w:val="center"/>
              <w:rPr>
                <w:sz w:val="18"/>
                <w:szCs w:val="18"/>
              </w:rPr>
            </w:pPr>
          </w:p>
        </w:tc>
        <w:tc>
          <w:tcPr>
            <w:tcW w:w="964" w:type="dxa"/>
            <w:vAlign w:val="center"/>
          </w:tcPr>
          <w:p w14:paraId="5927D25B" w14:textId="77777777" w:rsidR="005967A1" w:rsidRPr="005967A1" w:rsidRDefault="005967A1" w:rsidP="005967A1">
            <w:pPr>
              <w:spacing w:before="0" w:after="0"/>
              <w:jc w:val="center"/>
              <w:rPr>
                <w:sz w:val="18"/>
                <w:szCs w:val="18"/>
              </w:rPr>
            </w:pPr>
          </w:p>
        </w:tc>
        <w:tc>
          <w:tcPr>
            <w:tcW w:w="850" w:type="dxa"/>
            <w:vAlign w:val="center"/>
          </w:tcPr>
          <w:p w14:paraId="67BDE3AB" w14:textId="77777777" w:rsidR="005967A1" w:rsidRPr="005967A1" w:rsidRDefault="005967A1" w:rsidP="005967A1">
            <w:pPr>
              <w:spacing w:before="0" w:after="0"/>
              <w:jc w:val="center"/>
              <w:rPr>
                <w:sz w:val="18"/>
                <w:szCs w:val="18"/>
              </w:rPr>
            </w:pPr>
          </w:p>
        </w:tc>
        <w:tc>
          <w:tcPr>
            <w:tcW w:w="951" w:type="dxa"/>
            <w:vAlign w:val="center"/>
          </w:tcPr>
          <w:p w14:paraId="7AD40590" w14:textId="77777777" w:rsidR="005967A1" w:rsidRPr="005967A1" w:rsidRDefault="005967A1" w:rsidP="005967A1">
            <w:pPr>
              <w:spacing w:before="0" w:after="0"/>
              <w:jc w:val="center"/>
              <w:rPr>
                <w:sz w:val="18"/>
                <w:szCs w:val="18"/>
              </w:rPr>
            </w:pPr>
          </w:p>
        </w:tc>
        <w:tc>
          <w:tcPr>
            <w:tcW w:w="1007" w:type="dxa"/>
            <w:vAlign w:val="center"/>
          </w:tcPr>
          <w:p w14:paraId="32E65B7A" w14:textId="3D1DEE58" w:rsidR="005967A1" w:rsidRPr="005967A1" w:rsidRDefault="005967A1" w:rsidP="005967A1">
            <w:pPr>
              <w:spacing w:before="0" w:after="0"/>
              <w:jc w:val="center"/>
              <w:rPr>
                <w:sz w:val="18"/>
                <w:szCs w:val="18"/>
              </w:rPr>
            </w:pPr>
            <w:r w:rsidRPr="005967A1">
              <w:rPr>
                <w:sz w:val="18"/>
                <w:szCs w:val="18"/>
              </w:rPr>
              <w:t>9.632%</w:t>
            </w:r>
          </w:p>
        </w:tc>
        <w:tc>
          <w:tcPr>
            <w:tcW w:w="961" w:type="dxa"/>
            <w:vAlign w:val="center"/>
          </w:tcPr>
          <w:p w14:paraId="4A501C07" w14:textId="77777777" w:rsidR="005967A1" w:rsidRPr="005967A1" w:rsidRDefault="005967A1" w:rsidP="005967A1">
            <w:pPr>
              <w:spacing w:before="0" w:after="0"/>
              <w:jc w:val="center"/>
              <w:rPr>
                <w:sz w:val="18"/>
                <w:szCs w:val="18"/>
              </w:rPr>
            </w:pPr>
          </w:p>
        </w:tc>
      </w:tr>
      <w:tr w:rsidR="005967A1" w:rsidRPr="00944E5B" w14:paraId="120900D9" w14:textId="77777777" w:rsidTr="003B5B0B">
        <w:trPr>
          <w:trHeight w:hRule="exact" w:val="397"/>
        </w:trPr>
        <w:tc>
          <w:tcPr>
            <w:tcW w:w="4030" w:type="dxa"/>
            <w:vAlign w:val="center"/>
          </w:tcPr>
          <w:p w14:paraId="641CC5E5" w14:textId="7A0464A9" w:rsidR="005967A1" w:rsidRPr="005967A1" w:rsidRDefault="005967A1" w:rsidP="005967A1">
            <w:pPr>
              <w:spacing w:before="0" w:after="0"/>
              <w:jc w:val="left"/>
              <w:rPr>
                <w:sz w:val="18"/>
                <w:szCs w:val="18"/>
              </w:rPr>
            </w:pPr>
            <w:r w:rsidRPr="005967A1">
              <w:rPr>
                <w:sz w:val="18"/>
                <w:szCs w:val="18"/>
              </w:rPr>
              <w:t>Canutillar Puerto Montt 220 KV C1</w:t>
            </w:r>
          </w:p>
        </w:tc>
        <w:tc>
          <w:tcPr>
            <w:tcW w:w="764" w:type="dxa"/>
            <w:vAlign w:val="center"/>
          </w:tcPr>
          <w:p w14:paraId="3EE0E04C" w14:textId="4C0AD3F9" w:rsidR="005967A1" w:rsidRPr="005967A1" w:rsidRDefault="005967A1" w:rsidP="005967A1">
            <w:pPr>
              <w:spacing w:before="0" w:after="0"/>
              <w:jc w:val="center"/>
              <w:rPr>
                <w:sz w:val="18"/>
                <w:szCs w:val="18"/>
              </w:rPr>
            </w:pPr>
            <w:r w:rsidRPr="005967A1">
              <w:rPr>
                <w:sz w:val="18"/>
                <w:szCs w:val="18"/>
              </w:rPr>
              <w:t>Hprot</w:t>
            </w:r>
          </w:p>
        </w:tc>
        <w:tc>
          <w:tcPr>
            <w:tcW w:w="964" w:type="dxa"/>
            <w:vAlign w:val="center"/>
          </w:tcPr>
          <w:p w14:paraId="540991FC" w14:textId="77777777" w:rsidR="005967A1" w:rsidRPr="005967A1" w:rsidRDefault="005967A1" w:rsidP="005967A1">
            <w:pPr>
              <w:spacing w:before="0" w:after="0"/>
              <w:jc w:val="center"/>
              <w:rPr>
                <w:sz w:val="18"/>
                <w:szCs w:val="18"/>
              </w:rPr>
            </w:pPr>
          </w:p>
        </w:tc>
        <w:tc>
          <w:tcPr>
            <w:tcW w:w="964" w:type="dxa"/>
            <w:vAlign w:val="center"/>
          </w:tcPr>
          <w:p w14:paraId="0E324A3D" w14:textId="77777777" w:rsidR="005967A1" w:rsidRPr="005967A1" w:rsidRDefault="005967A1" w:rsidP="005967A1">
            <w:pPr>
              <w:spacing w:before="0" w:after="0"/>
              <w:jc w:val="center"/>
              <w:rPr>
                <w:sz w:val="18"/>
                <w:szCs w:val="18"/>
              </w:rPr>
            </w:pPr>
          </w:p>
        </w:tc>
        <w:tc>
          <w:tcPr>
            <w:tcW w:w="850" w:type="dxa"/>
            <w:vAlign w:val="center"/>
          </w:tcPr>
          <w:p w14:paraId="3A56C9E5" w14:textId="77777777" w:rsidR="005967A1" w:rsidRPr="005967A1" w:rsidRDefault="005967A1" w:rsidP="005967A1">
            <w:pPr>
              <w:spacing w:before="0" w:after="0"/>
              <w:jc w:val="center"/>
              <w:rPr>
                <w:sz w:val="18"/>
                <w:szCs w:val="18"/>
              </w:rPr>
            </w:pPr>
          </w:p>
        </w:tc>
        <w:tc>
          <w:tcPr>
            <w:tcW w:w="951" w:type="dxa"/>
            <w:vAlign w:val="center"/>
          </w:tcPr>
          <w:p w14:paraId="2E8C37D3" w14:textId="77777777" w:rsidR="005967A1" w:rsidRPr="005967A1" w:rsidRDefault="005967A1" w:rsidP="005967A1">
            <w:pPr>
              <w:spacing w:before="0" w:after="0"/>
              <w:jc w:val="center"/>
              <w:rPr>
                <w:sz w:val="18"/>
                <w:szCs w:val="18"/>
              </w:rPr>
            </w:pPr>
          </w:p>
        </w:tc>
        <w:tc>
          <w:tcPr>
            <w:tcW w:w="1007" w:type="dxa"/>
            <w:vAlign w:val="center"/>
          </w:tcPr>
          <w:p w14:paraId="54466721" w14:textId="77777777" w:rsidR="005967A1" w:rsidRPr="005967A1" w:rsidRDefault="005967A1" w:rsidP="005967A1">
            <w:pPr>
              <w:spacing w:before="0" w:after="0"/>
              <w:jc w:val="center"/>
              <w:rPr>
                <w:sz w:val="18"/>
                <w:szCs w:val="18"/>
              </w:rPr>
            </w:pPr>
          </w:p>
        </w:tc>
        <w:tc>
          <w:tcPr>
            <w:tcW w:w="961" w:type="dxa"/>
            <w:vAlign w:val="center"/>
          </w:tcPr>
          <w:p w14:paraId="2BEF2FC9" w14:textId="0C729231" w:rsidR="005967A1" w:rsidRPr="005967A1" w:rsidRDefault="005967A1" w:rsidP="005967A1">
            <w:pPr>
              <w:spacing w:before="0" w:after="0"/>
              <w:jc w:val="center"/>
              <w:rPr>
                <w:sz w:val="18"/>
                <w:szCs w:val="18"/>
              </w:rPr>
            </w:pPr>
            <w:r w:rsidRPr="005967A1">
              <w:rPr>
                <w:sz w:val="18"/>
                <w:szCs w:val="18"/>
              </w:rPr>
              <w:t>0,2%</w:t>
            </w:r>
          </w:p>
        </w:tc>
      </w:tr>
      <w:tr w:rsidR="005967A1" w:rsidRPr="00944E5B" w14:paraId="6D01EFCB" w14:textId="77777777" w:rsidTr="003B5B0B">
        <w:trPr>
          <w:trHeight w:hRule="exact" w:val="397"/>
        </w:trPr>
        <w:tc>
          <w:tcPr>
            <w:tcW w:w="4030" w:type="dxa"/>
            <w:vAlign w:val="center"/>
          </w:tcPr>
          <w:p w14:paraId="7E723B9A" w14:textId="35E82925" w:rsidR="005967A1" w:rsidRPr="005967A1" w:rsidRDefault="005967A1" w:rsidP="005967A1">
            <w:pPr>
              <w:spacing w:before="0" w:after="0"/>
              <w:jc w:val="left"/>
              <w:rPr>
                <w:sz w:val="18"/>
                <w:szCs w:val="18"/>
              </w:rPr>
            </w:pPr>
            <w:r w:rsidRPr="005967A1">
              <w:rPr>
                <w:sz w:val="18"/>
                <w:szCs w:val="18"/>
              </w:rPr>
              <w:t>Tap El Llano - SAG 220 kV C1</w:t>
            </w:r>
          </w:p>
        </w:tc>
        <w:tc>
          <w:tcPr>
            <w:tcW w:w="764" w:type="dxa"/>
            <w:vAlign w:val="center"/>
          </w:tcPr>
          <w:p w14:paraId="7F657AAD" w14:textId="7BE162DE" w:rsidR="005967A1" w:rsidRPr="005967A1" w:rsidRDefault="005967A1" w:rsidP="005967A1">
            <w:pPr>
              <w:spacing w:before="0" w:after="0"/>
              <w:jc w:val="center"/>
              <w:rPr>
                <w:sz w:val="18"/>
                <w:szCs w:val="18"/>
              </w:rPr>
            </w:pPr>
            <w:r w:rsidRPr="005967A1">
              <w:rPr>
                <w:sz w:val="18"/>
                <w:szCs w:val="18"/>
              </w:rPr>
              <w:t>Hfort</w:t>
            </w:r>
          </w:p>
        </w:tc>
        <w:tc>
          <w:tcPr>
            <w:tcW w:w="964" w:type="dxa"/>
            <w:vAlign w:val="center"/>
          </w:tcPr>
          <w:p w14:paraId="7320493D" w14:textId="77777777" w:rsidR="005967A1" w:rsidRPr="005967A1" w:rsidRDefault="005967A1" w:rsidP="005967A1">
            <w:pPr>
              <w:spacing w:before="0" w:after="0"/>
              <w:jc w:val="center"/>
              <w:rPr>
                <w:sz w:val="18"/>
                <w:szCs w:val="18"/>
              </w:rPr>
            </w:pPr>
          </w:p>
        </w:tc>
        <w:tc>
          <w:tcPr>
            <w:tcW w:w="964" w:type="dxa"/>
            <w:vAlign w:val="center"/>
          </w:tcPr>
          <w:p w14:paraId="38A695E2" w14:textId="77777777" w:rsidR="005967A1" w:rsidRPr="005967A1" w:rsidRDefault="005967A1" w:rsidP="005967A1">
            <w:pPr>
              <w:spacing w:before="0" w:after="0"/>
              <w:jc w:val="center"/>
              <w:rPr>
                <w:sz w:val="18"/>
                <w:szCs w:val="18"/>
              </w:rPr>
            </w:pPr>
          </w:p>
        </w:tc>
        <w:tc>
          <w:tcPr>
            <w:tcW w:w="850" w:type="dxa"/>
            <w:vAlign w:val="center"/>
          </w:tcPr>
          <w:p w14:paraId="69D0C828" w14:textId="77777777" w:rsidR="005967A1" w:rsidRPr="005967A1" w:rsidRDefault="005967A1" w:rsidP="005967A1">
            <w:pPr>
              <w:spacing w:before="0" w:after="0"/>
              <w:jc w:val="center"/>
              <w:rPr>
                <w:sz w:val="18"/>
                <w:szCs w:val="18"/>
              </w:rPr>
            </w:pPr>
          </w:p>
        </w:tc>
        <w:tc>
          <w:tcPr>
            <w:tcW w:w="951" w:type="dxa"/>
            <w:vAlign w:val="center"/>
          </w:tcPr>
          <w:p w14:paraId="099B8432" w14:textId="77777777" w:rsidR="005967A1" w:rsidRPr="005967A1" w:rsidRDefault="005967A1" w:rsidP="005967A1">
            <w:pPr>
              <w:spacing w:before="0" w:after="0"/>
              <w:jc w:val="center"/>
              <w:rPr>
                <w:sz w:val="18"/>
                <w:szCs w:val="18"/>
              </w:rPr>
            </w:pPr>
          </w:p>
        </w:tc>
        <w:tc>
          <w:tcPr>
            <w:tcW w:w="1007" w:type="dxa"/>
            <w:vAlign w:val="center"/>
          </w:tcPr>
          <w:p w14:paraId="2E2B2797" w14:textId="2169B740" w:rsidR="005967A1" w:rsidRPr="005967A1" w:rsidRDefault="005967A1" w:rsidP="005967A1">
            <w:pPr>
              <w:spacing w:before="0" w:after="0"/>
              <w:jc w:val="center"/>
              <w:rPr>
                <w:sz w:val="18"/>
                <w:szCs w:val="18"/>
              </w:rPr>
            </w:pPr>
            <w:r w:rsidRPr="005967A1">
              <w:rPr>
                <w:sz w:val="18"/>
                <w:szCs w:val="18"/>
              </w:rPr>
              <w:t>11.518%</w:t>
            </w:r>
          </w:p>
        </w:tc>
        <w:tc>
          <w:tcPr>
            <w:tcW w:w="961" w:type="dxa"/>
            <w:vAlign w:val="center"/>
          </w:tcPr>
          <w:p w14:paraId="489A92E3" w14:textId="77777777" w:rsidR="005967A1" w:rsidRPr="005967A1" w:rsidRDefault="005967A1" w:rsidP="005967A1">
            <w:pPr>
              <w:spacing w:before="0" w:after="0"/>
              <w:jc w:val="center"/>
              <w:rPr>
                <w:sz w:val="18"/>
                <w:szCs w:val="18"/>
              </w:rPr>
            </w:pPr>
          </w:p>
        </w:tc>
      </w:tr>
      <w:tr w:rsidR="005967A1" w:rsidRPr="00944E5B" w14:paraId="30E50C74" w14:textId="77777777" w:rsidTr="003B5B0B">
        <w:trPr>
          <w:trHeight w:hRule="exact" w:val="397"/>
        </w:trPr>
        <w:tc>
          <w:tcPr>
            <w:tcW w:w="4030" w:type="dxa"/>
            <w:vAlign w:val="center"/>
          </w:tcPr>
          <w:p w14:paraId="7E593D12" w14:textId="15A93C18" w:rsidR="005967A1" w:rsidRPr="005967A1" w:rsidRDefault="005967A1" w:rsidP="005967A1">
            <w:pPr>
              <w:spacing w:before="0" w:after="0"/>
              <w:jc w:val="left"/>
              <w:rPr>
                <w:sz w:val="18"/>
                <w:szCs w:val="18"/>
              </w:rPr>
            </w:pPr>
            <w:r w:rsidRPr="005967A1">
              <w:rPr>
                <w:sz w:val="18"/>
                <w:szCs w:val="18"/>
              </w:rPr>
              <w:t>Tap Cerro Balcón -Pozo Almonte 110KV C1</w:t>
            </w:r>
          </w:p>
        </w:tc>
        <w:tc>
          <w:tcPr>
            <w:tcW w:w="764" w:type="dxa"/>
            <w:vAlign w:val="center"/>
          </w:tcPr>
          <w:p w14:paraId="4088E555" w14:textId="142EB3EC" w:rsidR="005967A1" w:rsidRPr="005967A1" w:rsidRDefault="005967A1" w:rsidP="005967A1">
            <w:pPr>
              <w:spacing w:before="0" w:after="0"/>
              <w:jc w:val="center"/>
              <w:rPr>
                <w:sz w:val="18"/>
                <w:szCs w:val="18"/>
              </w:rPr>
            </w:pPr>
            <w:r w:rsidRPr="005967A1">
              <w:rPr>
                <w:sz w:val="18"/>
                <w:szCs w:val="18"/>
              </w:rPr>
              <w:t>Hfort</w:t>
            </w:r>
          </w:p>
        </w:tc>
        <w:tc>
          <w:tcPr>
            <w:tcW w:w="964" w:type="dxa"/>
            <w:vAlign w:val="center"/>
          </w:tcPr>
          <w:p w14:paraId="5ED2C937" w14:textId="77777777" w:rsidR="005967A1" w:rsidRPr="005967A1" w:rsidRDefault="005967A1" w:rsidP="005967A1">
            <w:pPr>
              <w:spacing w:before="0" w:after="0"/>
              <w:jc w:val="center"/>
              <w:rPr>
                <w:sz w:val="18"/>
                <w:szCs w:val="18"/>
              </w:rPr>
            </w:pPr>
          </w:p>
        </w:tc>
        <w:tc>
          <w:tcPr>
            <w:tcW w:w="964" w:type="dxa"/>
            <w:vAlign w:val="center"/>
          </w:tcPr>
          <w:p w14:paraId="577E2CEE" w14:textId="77777777" w:rsidR="005967A1" w:rsidRPr="005967A1" w:rsidRDefault="005967A1" w:rsidP="005967A1">
            <w:pPr>
              <w:spacing w:before="0" w:after="0"/>
              <w:jc w:val="center"/>
              <w:rPr>
                <w:sz w:val="18"/>
                <w:szCs w:val="18"/>
              </w:rPr>
            </w:pPr>
          </w:p>
        </w:tc>
        <w:tc>
          <w:tcPr>
            <w:tcW w:w="850" w:type="dxa"/>
            <w:vAlign w:val="center"/>
          </w:tcPr>
          <w:p w14:paraId="1E8E7A29" w14:textId="77777777" w:rsidR="005967A1" w:rsidRPr="005967A1" w:rsidRDefault="005967A1" w:rsidP="005967A1">
            <w:pPr>
              <w:spacing w:before="0" w:after="0"/>
              <w:jc w:val="center"/>
              <w:rPr>
                <w:sz w:val="18"/>
                <w:szCs w:val="18"/>
              </w:rPr>
            </w:pPr>
          </w:p>
        </w:tc>
        <w:tc>
          <w:tcPr>
            <w:tcW w:w="951" w:type="dxa"/>
            <w:vAlign w:val="center"/>
          </w:tcPr>
          <w:p w14:paraId="5AF1263F" w14:textId="77777777" w:rsidR="005967A1" w:rsidRPr="005967A1" w:rsidRDefault="005967A1" w:rsidP="005967A1">
            <w:pPr>
              <w:spacing w:before="0" w:after="0"/>
              <w:jc w:val="center"/>
              <w:rPr>
                <w:sz w:val="18"/>
                <w:szCs w:val="18"/>
              </w:rPr>
            </w:pPr>
          </w:p>
        </w:tc>
        <w:tc>
          <w:tcPr>
            <w:tcW w:w="1007" w:type="dxa"/>
            <w:vAlign w:val="center"/>
          </w:tcPr>
          <w:p w14:paraId="7055374B" w14:textId="77777777" w:rsidR="005967A1" w:rsidRPr="005967A1" w:rsidRDefault="005967A1" w:rsidP="005967A1">
            <w:pPr>
              <w:spacing w:before="0" w:after="0"/>
              <w:jc w:val="center"/>
              <w:rPr>
                <w:sz w:val="18"/>
                <w:szCs w:val="18"/>
              </w:rPr>
            </w:pPr>
          </w:p>
        </w:tc>
        <w:tc>
          <w:tcPr>
            <w:tcW w:w="961" w:type="dxa"/>
            <w:vAlign w:val="center"/>
          </w:tcPr>
          <w:p w14:paraId="1037347B" w14:textId="007203CF" w:rsidR="005967A1" w:rsidRPr="005967A1" w:rsidRDefault="005967A1" w:rsidP="005967A1">
            <w:pPr>
              <w:spacing w:before="0" w:after="0"/>
              <w:jc w:val="center"/>
              <w:rPr>
                <w:sz w:val="18"/>
                <w:szCs w:val="18"/>
              </w:rPr>
            </w:pPr>
            <w:r w:rsidRPr="005967A1">
              <w:rPr>
                <w:sz w:val="18"/>
                <w:szCs w:val="18"/>
              </w:rPr>
              <w:t>1,7%</w:t>
            </w:r>
          </w:p>
        </w:tc>
      </w:tr>
      <w:tr w:rsidR="005967A1" w:rsidRPr="00944E5B" w14:paraId="513CC6A1" w14:textId="77777777" w:rsidTr="003B5B0B">
        <w:trPr>
          <w:trHeight w:hRule="exact" w:val="397"/>
        </w:trPr>
        <w:tc>
          <w:tcPr>
            <w:tcW w:w="4030" w:type="dxa"/>
            <w:vAlign w:val="center"/>
          </w:tcPr>
          <w:p w14:paraId="5E1B99B4" w14:textId="372E52E3" w:rsidR="005967A1" w:rsidRPr="005967A1" w:rsidRDefault="005967A1" w:rsidP="005967A1">
            <w:pPr>
              <w:spacing w:before="0" w:after="0"/>
              <w:jc w:val="left"/>
              <w:rPr>
                <w:sz w:val="18"/>
                <w:szCs w:val="18"/>
              </w:rPr>
            </w:pPr>
            <w:r w:rsidRPr="005967A1">
              <w:rPr>
                <w:sz w:val="18"/>
                <w:szCs w:val="18"/>
              </w:rPr>
              <w:t>Collahuasi -Quebrada Blanca 220KV C1</w:t>
            </w:r>
          </w:p>
        </w:tc>
        <w:tc>
          <w:tcPr>
            <w:tcW w:w="764" w:type="dxa"/>
            <w:vAlign w:val="center"/>
          </w:tcPr>
          <w:p w14:paraId="63E466E1" w14:textId="23FFD9DA" w:rsidR="005967A1" w:rsidRPr="005967A1" w:rsidRDefault="005967A1" w:rsidP="005967A1">
            <w:pPr>
              <w:spacing w:before="0" w:after="0"/>
              <w:jc w:val="center"/>
              <w:rPr>
                <w:sz w:val="18"/>
                <w:szCs w:val="18"/>
              </w:rPr>
            </w:pPr>
            <w:r w:rsidRPr="005967A1">
              <w:rPr>
                <w:sz w:val="18"/>
                <w:szCs w:val="18"/>
              </w:rPr>
              <w:t>Ffort</w:t>
            </w:r>
          </w:p>
        </w:tc>
        <w:tc>
          <w:tcPr>
            <w:tcW w:w="964" w:type="dxa"/>
            <w:vAlign w:val="center"/>
          </w:tcPr>
          <w:p w14:paraId="4C4BB36F" w14:textId="77777777" w:rsidR="005967A1" w:rsidRPr="005967A1" w:rsidRDefault="005967A1" w:rsidP="005967A1">
            <w:pPr>
              <w:spacing w:before="0" w:after="0"/>
              <w:jc w:val="center"/>
              <w:rPr>
                <w:sz w:val="18"/>
                <w:szCs w:val="18"/>
              </w:rPr>
            </w:pPr>
          </w:p>
        </w:tc>
        <w:tc>
          <w:tcPr>
            <w:tcW w:w="964" w:type="dxa"/>
            <w:vAlign w:val="center"/>
          </w:tcPr>
          <w:p w14:paraId="0F2F802B" w14:textId="77777777" w:rsidR="005967A1" w:rsidRPr="005967A1" w:rsidRDefault="005967A1" w:rsidP="005967A1">
            <w:pPr>
              <w:spacing w:before="0" w:after="0"/>
              <w:jc w:val="center"/>
              <w:rPr>
                <w:sz w:val="18"/>
                <w:szCs w:val="18"/>
              </w:rPr>
            </w:pPr>
          </w:p>
        </w:tc>
        <w:tc>
          <w:tcPr>
            <w:tcW w:w="850" w:type="dxa"/>
            <w:vAlign w:val="center"/>
          </w:tcPr>
          <w:p w14:paraId="2C54B91B" w14:textId="77777777" w:rsidR="005967A1" w:rsidRPr="005967A1" w:rsidRDefault="005967A1" w:rsidP="005967A1">
            <w:pPr>
              <w:spacing w:before="0" w:after="0"/>
              <w:jc w:val="center"/>
              <w:rPr>
                <w:sz w:val="18"/>
                <w:szCs w:val="18"/>
              </w:rPr>
            </w:pPr>
          </w:p>
        </w:tc>
        <w:tc>
          <w:tcPr>
            <w:tcW w:w="951" w:type="dxa"/>
            <w:vAlign w:val="center"/>
          </w:tcPr>
          <w:p w14:paraId="494DFF39" w14:textId="77777777" w:rsidR="005967A1" w:rsidRPr="005967A1" w:rsidRDefault="005967A1" w:rsidP="005967A1">
            <w:pPr>
              <w:spacing w:before="0" w:after="0"/>
              <w:jc w:val="center"/>
              <w:rPr>
                <w:sz w:val="18"/>
                <w:szCs w:val="18"/>
              </w:rPr>
            </w:pPr>
          </w:p>
        </w:tc>
        <w:tc>
          <w:tcPr>
            <w:tcW w:w="1007" w:type="dxa"/>
            <w:vAlign w:val="center"/>
          </w:tcPr>
          <w:p w14:paraId="5045134F" w14:textId="49F3225F" w:rsidR="005967A1" w:rsidRPr="005967A1" w:rsidRDefault="005967A1" w:rsidP="005967A1">
            <w:pPr>
              <w:spacing w:before="0" w:after="0"/>
              <w:jc w:val="center"/>
              <w:rPr>
                <w:sz w:val="18"/>
                <w:szCs w:val="18"/>
              </w:rPr>
            </w:pPr>
            <w:r w:rsidRPr="005967A1">
              <w:rPr>
                <w:sz w:val="18"/>
                <w:szCs w:val="18"/>
              </w:rPr>
              <w:t>40%</w:t>
            </w:r>
          </w:p>
        </w:tc>
        <w:tc>
          <w:tcPr>
            <w:tcW w:w="961" w:type="dxa"/>
            <w:vAlign w:val="center"/>
          </w:tcPr>
          <w:p w14:paraId="0502A33B" w14:textId="77777777" w:rsidR="005967A1" w:rsidRPr="005967A1" w:rsidRDefault="005967A1" w:rsidP="005967A1">
            <w:pPr>
              <w:spacing w:before="0" w:after="0"/>
              <w:jc w:val="center"/>
              <w:rPr>
                <w:sz w:val="18"/>
                <w:szCs w:val="18"/>
              </w:rPr>
            </w:pPr>
          </w:p>
        </w:tc>
      </w:tr>
      <w:tr w:rsidR="005967A1" w:rsidRPr="00944E5B" w14:paraId="4D942FEA" w14:textId="77777777" w:rsidTr="003B5B0B">
        <w:trPr>
          <w:trHeight w:hRule="exact" w:val="421"/>
        </w:trPr>
        <w:tc>
          <w:tcPr>
            <w:tcW w:w="4030" w:type="dxa"/>
            <w:vAlign w:val="center"/>
          </w:tcPr>
          <w:p w14:paraId="239CF12C" w14:textId="6A14DD42" w:rsidR="005967A1" w:rsidRPr="005967A1" w:rsidRDefault="005967A1" w:rsidP="005967A1">
            <w:pPr>
              <w:spacing w:before="0" w:after="0"/>
              <w:jc w:val="left"/>
              <w:rPr>
                <w:sz w:val="18"/>
                <w:szCs w:val="18"/>
              </w:rPr>
            </w:pPr>
            <w:r w:rsidRPr="005967A1">
              <w:rPr>
                <w:sz w:val="18"/>
                <w:szCs w:val="18"/>
              </w:rPr>
              <w:t>Huasco – Maitencillo 110 kV L1C1</w:t>
            </w:r>
          </w:p>
        </w:tc>
        <w:tc>
          <w:tcPr>
            <w:tcW w:w="764" w:type="dxa"/>
            <w:vAlign w:val="center"/>
          </w:tcPr>
          <w:p w14:paraId="56DCE0ED" w14:textId="69D5F144" w:rsidR="005967A1" w:rsidRPr="005967A1" w:rsidRDefault="005967A1" w:rsidP="005967A1">
            <w:pPr>
              <w:spacing w:before="0" w:after="0"/>
              <w:jc w:val="center"/>
              <w:rPr>
                <w:sz w:val="18"/>
                <w:szCs w:val="18"/>
              </w:rPr>
            </w:pPr>
            <w:r w:rsidRPr="005967A1">
              <w:rPr>
                <w:sz w:val="18"/>
                <w:szCs w:val="18"/>
              </w:rPr>
              <w:t>Ffort</w:t>
            </w:r>
          </w:p>
        </w:tc>
        <w:tc>
          <w:tcPr>
            <w:tcW w:w="964" w:type="dxa"/>
            <w:vAlign w:val="center"/>
          </w:tcPr>
          <w:p w14:paraId="72ADC9EC" w14:textId="77777777" w:rsidR="005967A1" w:rsidRPr="005967A1" w:rsidRDefault="005967A1" w:rsidP="005967A1">
            <w:pPr>
              <w:spacing w:before="0" w:after="0"/>
              <w:jc w:val="center"/>
              <w:rPr>
                <w:sz w:val="18"/>
                <w:szCs w:val="18"/>
              </w:rPr>
            </w:pPr>
          </w:p>
        </w:tc>
        <w:tc>
          <w:tcPr>
            <w:tcW w:w="964" w:type="dxa"/>
            <w:vAlign w:val="center"/>
          </w:tcPr>
          <w:p w14:paraId="10285D2C" w14:textId="77777777" w:rsidR="005967A1" w:rsidRPr="005967A1" w:rsidRDefault="005967A1" w:rsidP="005967A1">
            <w:pPr>
              <w:spacing w:before="0" w:after="0"/>
              <w:jc w:val="center"/>
              <w:rPr>
                <w:sz w:val="18"/>
                <w:szCs w:val="18"/>
              </w:rPr>
            </w:pPr>
          </w:p>
        </w:tc>
        <w:tc>
          <w:tcPr>
            <w:tcW w:w="850" w:type="dxa"/>
            <w:vAlign w:val="center"/>
          </w:tcPr>
          <w:p w14:paraId="778B0CF7" w14:textId="77777777" w:rsidR="005967A1" w:rsidRPr="005967A1" w:rsidRDefault="005967A1" w:rsidP="005967A1">
            <w:pPr>
              <w:spacing w:before="0" w:after="0"/>
              <w:jc w:val="center"/>
              <w:rPr>
                <w:sz w:val="18"/>
                <w:szCs w:val="18"/>
              </w:rPr>
            </w:pPr>
          </w:p>
        </w:tc>
        <w:tc>
          <w:tcPr>
            <w:tcW w:w="951" w:type="dxa"/>
            <w:vAlign w:val="center"/>
          </w:tcPr>
          <w:p w14:paraId="2C7D5179" w14:textId="77777777" w:rsidR="005967A1" w:rsidRPr="005967A1" w:rsidRDefault="005967A1" w:rsidP="005967A1">
            <w:pPr>
              <w:spacing w:before="0" w:after="0"/>
              <w:jc w:val="center"/>
              <w:rPr>
                <w:sz w:val="18"/>
                <w:szCs w:val="18"/>
              </w:rPr>
            </w:pPr>
          </w:p>
        </w:tc>
        <w:tc>
          <w:tcPr>
            <w:tcW w:w="1007" w:type="dxa"/>
            <w:vAlign w:val="center"/>
          </w:tcPr>
          <w:p w14:paraId="5EAB5E9B" w14:textId="77777777" w:rsidR="005967A1" w:rsidRPr="005967A1" w:rsidRDefault="005967A1" w:rsidP="005967A1">
            <w:pPr>
              <w:spacing w:before="0" w:after="0"/>
              <w:jc w:val="center"/>
              <w:rPr>
                <w:sz w:val="18"/>
                <w:szCs w:val="18"/>
              </w:rPr>
            </w:pPr>
          </w:p>
        </w:tc>
        <w:tc>
          <w:tcPr>
            <w:tcW w:w="961" w:type="dxa"/>
            <w:vAlign w:val="center"/>
          </w:tcPr>
          <w:p w14:paraId="6F593D5E" w14:textId="39A6F860" w:rsidR="005967A1" w:rsidRPr="005967A1" w:rsidRDefault="005967A1" w:rsidP="005967A1">
            <w:pPr>
              <w:spacing w:before="0" w:after="0"/>
              <w:jc w:val="center"/>
              <w:rPr>
                <w:sz w:val="18"/>
                <w:szCs w:val="18"/>
              </w:rPr>
            </w:pPr>
            <w:r w:rsidRPr="005967A1">
              <w:rPr>
                <w:sz w:val="18"/>
                <w:szCs w:val="18"/>
              </w:rPr>
              <w:t>25%</w:t>
            </w:r>
          </w:p>
        </w:tc>
      </w:tr>
    </w:tbl>
    <w:p w14:paraId="48FF0C15" w14:textId="77777777" w:rsidR="0003168F" w:rsidRPr="00B63776" w:rsidRDefault="0003168F" w:rsidP="0040690F">
      <w:pPr>
        <w:rPr>
          <w:color w:val="007DB1" w:themeColor="background1"/>
          <w:sz w:val="10"/>
        </w:rPr>
      </w:pPr>
    </w:p>
    <w:p w14:paraId="7B7F66EE" w14:textId="77777777" w:rsidR="00AA1A60" w:rsidRPr="00375675" w:rsidRDefault="00E3379E" w:rsidP="00AA1A60">
      <w:pPr>
        <w:pStyle w:val="Ttulo4"/>
      </w:pPr>
      <w:r w:rsidRPr="00375675">
        <w:t xml:space="preserve">Equipos de </w:t>
      </w:r>
      <w:r w:rsidR="00AA1A60" w:rsidRPr="00375675">
        <w:t>TRANSFORMACIÓN</w:t>
      </w:r>
    </w:p>
    <w:p w14:paraId="48ED306B" w14:textId="2CFF19E6" w:rsidR="00131D7D" w:rsidRDefault="00131D7D" w:rsidP="0069018E">
      <w:r w:rsidRPr="00D525D4">
        <w:t>Sobre un universo de 1.</w:t>
      </w:r>
      <w:r>
        <w:t>496</w:t>
      </w:r>
      <w:r w:rsidRPr="00D525D4">
        <w:t xml:space="preserve"> </w:t>
      </w:r>
      <w:r>
        <w:t>equipos de transformación catastrados en el SEN, de los cuales 1.386</w:t>
      </w:r>
      <w:r w:rsidRPr="00D525D4">
        <w:t xml:space="preserve"> </w:t>
      </w:r>
      <w:r>
        <w:t>disponen de 5 o más años de antigüedad para efectos de cálculo</w:t>
      </w:r>
      <w:r w:rsidRPr="00D525D4">
        <w:t xml:space="preserve"> </w:t>
      </w:r>
      <w:r>
        <w:t>de</w:t>
      </w:r>
      <w:r w:rsidRPr="00D525D4">
        <w:t xml:space="preserve"> índices, se presentan a continuación las estadísticas asociadas a estos indicadores</w:t>
      </w:r>
      <w:r>
        <w:t>.</w:t>
      </w:r>
    </w:p>
    <w:p w14:paraId="619CA87A" w14:textId="2717F8FB" w:rsidR="0069018E" w:rsidRPr="00961F68" w:rsidRDefault="0069018E" w:rsidP="0069018E"/>
    <w:p w14:paraId="51F83F70" w14:textId="171497B1" w:rsidR="0029320B" w:rsidRPr="00961F68" w:rsidRDefault="00131D7D" w:rsidP="0029320B">
      <w:pPr>
        <w:jc w:val="center"/>
      </w:pPr>
      <w:r>
        <w:rPr>
          <w:noProof/>
        </w:rPr>
        <w:drawing>
          <wp:inline distT="0" distB="0" distL="0" distR="0" wp14:anchorId="25617BDA" wp14:editId="0E12BAB6">
            <wp:extent cx="4864691" cy="290187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84820" cy="2913877"/>
                    </a:xfrm>
                    <a:prstGeom prst="rect">
                      <a:avLst/>
                    </a:prstGeom>
                    <a:noFill/>
                  </pic:spPr>
                </pic:pic>
              </a:graphicData>
            </a:graphic>
          </wp:inline>
        </w:drawing>
      </w:r>
    </w:p>
    <w:p w14:paraId="3BA693D7" w14:textId="77777777" w:rsidR="00F3435B" w:rsidRPr="005967A1" w:rsidRDefault="00633D15" w:rsidP="004F0954">
      <w:pPr>
        <w:pStyle w:val="Descripcin"/>
        <w:keepNext/>
      </w:pPr>
      <w:r w:rsidRPr="005967A1">
        <w:t>Figura 11:</w:t>
      </w:r>
      <w:r w:rsidR="004F0954" w:rsidRPr="005967A1">
        <w:t xml:space="preserve"> Cumplimiento de índices de transmisión – </w:t>
      </w:r>
      <w:r w:rsidR="00961F68" w:rsidRPr="005967A1">
        <w:t>equipos de transformación</w:t>
      </w:r>
    </w:p>
    <w:p w14:paraId="00826505" w14:textId="07DD7636" w:rsidR="0069018E" w:rsidRDefault="0069018E" w:rsidP="0069018E">
      <w:r w:rsidRPr="005967A1">
        <w:t xml:space="preserve">Para el caso del Índice </w:t>
      </w:r>
      <w:r w:rsidRPr="005967A1">
        <w:rPr>
          <w:b/>
          <w:u w:val="single"/>
        </w:rPr>
        <w:t>Hprot</w:t>
      </w:r>
      <w:r w:rsidRPr="005967A1">
        <w:t xml:space="preserve">, el mayor incumplimiento lo registra </w:t>
      </w:r>
      <w:r w:rsidR="00B0667C" w:rsidRPr="005967A1">
        <w:t>el transformador 220/</w:t>
      </w:r>
      <w:r w:rsidR="00B80AD4" w:rsidRPr="005967A1">
        <w:t>6,9</w:t>
      </w:r>
      <w:r w:rsidR="00B0667C" w:rsidRPr="005967A1">
        <w:t>kV N°</w:t>
      </w:r>
      <w:r w:rsidR="002F6F70" w:rsidRPr="005967A1">
        <w:t>2</w:t>
      </w:r>
      <w:r w:rsidR="00B0667C" w:rsidRPr="005967A1">
        <w:t xml:space="preserve"> de la S/E </w:t>
      </w:r>
      <w:r w:rsidR="00B80AD4" w:rsidRPr="005967A1">
        <w:t>Chimborazo</w:t>
      </w:r>
      <w:r w:rsidR="00B0667C" w:rsidRPr="005967A1">
        <w:t xml:space="preserve">, con diferencia del orden del </w:t>
      </w:r>
      <w:r w:rsidR="00B80AD4" w:rsidRPr="005967A1">
        <w:t>1</w:t>
      </w:r>
      <w:r w:rsidR="009B5470" w:rsidRPr="005967A1">
        <w:t>2</w:t>
      </w:r>
      <w:r w:rsidR="00B80AD4" w:rsidRPr="005967A1">
        <w:t>.310</w:t>
      </w:r>
      <w:r w:rsidRPr="005967A1">
        <w:t>% respecto del estándar exigido (30,0 como estándar</w:t>
      </w:r>
      <w:r w:rsidR="009351FF" w:rsidRPr="005967A1">
        <w:t xml:space="preserve"> versus un valor calculado de </w:t>
      </w:r>
      <w:r w:rsidR="00B80AD4" w:rsidRPr="005967A1">
        <w:t>3.723,1</w:t>
      </w:r>
      <w:r w:rsidRPr="005967A1">
        <w:t xml:space="preserve">). Por otro lado, próximo a cumplir el estándar se encuentra </w:t>
      </w:r>
      <w:r w:rsidR="009351FF" w:rsidRPr="005967A1">
        <w:t>el transformador</w:t>
      </w:r>
      <w:r w:rsidR="005A5148" w:rsidRPr="005967A1">
        <w:t xml:space="preserve"> </w:t>
      </w:r>
      <w:r w:rsidR="009351FF" w:rsidRPr="005967A1">
        <w:t>110/</w:t>
      </w:r>
      <w:r w:rsidR="009B5470" w:rsidRPr="005967A1">
        <w:t>12</w:t>
      </w:r>
      <w:r w:rsidR="00B80AD4" w:rsidRPr="005967A1">
        <w:t xml:space="preserve"> </w:t>
      </w:r>
      <w:r w:rsidR="009351FF" w:rsidRPr="005967A1">
        <w:t xml:space="preserve">kV </w:t>
      </w:r>
      <w:r w:rsidR="009B5470" w:rsidRPr="005967A1">
        <w:t>33MVA T11</w:t>
      </w:r>
      <w:r w:rsidR="009351FF" w:rsidRPr="005967A1">
        <w:t xml:space="preserve"> de S/E </w:t>
      </w:r>
      <w:r w:rsidR="009B5470" w:rsidRPr="005967A1">
        <w:t>Fundición Chagres</w:t>
      </w:r>
      <w:r w:rsidRPr="005967A1">
        <w:t xml:space="preserve">, con diferencia del orden del </w:t>
      </w:r>
      <w:r w:rsidR="009351FF" w:rsidRPr="005967A1">
        <w:t>0</w:t>
      </w:r>
      <w:r w:rsidRPr="005967A1">
        <w:t>,</w:t>
      </w:r>
      <w:r w:rsidR="009B5470" w:rsidRPr="005967A1">
        <w:t>5</w:t>
      </w:r>
      <w:r w:rsidRPr="005967A1">
        <w:t>% respecto del estándar exigido (</w:t>
      </w:r>
      <w:r w:rsidR="009351FF" w:rsidRPr="005967A1">
        <w:t>3</w:t>
      </w:r>
      <w:r w:rsidRPr="005967A1">
        <w:t>0,0 como estánda</w:t>
      </w:r>
      <w:r w:rsidR="009351FF" w:rsidRPr="005967A1">
        <w:t xml:space="preserve">r versus un valor calculado de </w:t>
      </w:r>
      <w:r w:rsidR="009B5470" w:rsidRPr="005967A1">
        <w:t>30</w:t>
      </w:r>
      <w:r w:rsidRPr="005967A1">
        <w:t>,</w:t>
      </w:r>
      <w:r w:rsidR="009B5470" w:rsidRPr="005967A1">
        <w:t>2</w:t>
      </w:r>
      <w:r w:rsidRPr="005967A1">
        <w:t>).</w:t>
      </w:r>
    </w:p>
    <w:p w14:paraId="560C9A08" w14:textId="77777777" w:rsidR="005967A1" w:rsidRPr="005967A1" w:rsidRDefault="005967A1" w:rsidP="0069018E">
      <w:pPr>
        <w:rPr>
          <w:color w:val="007DB1" w:themeColor="background1"/>
          <w:u w:val="single"/>
        </w:rPr>
      </w:pPr>
    </w:p>
    <w:p w14:paraId="256A0FFD" w14:textId="50645050" w:rsidR="0069018E" w:rsidRDefault="0069018E" w:rsidP="0069018E">
      <w:r w:rsidRPr="005967A1">
        <w:t xml:space="preserve">Para el caso del Índice </w:t>
      </w:r>
      <w:r w:rsidRPr="005967A1">
        <w:rPr>
          <w:b/>
          <w:u w:val="single"/>
        </w:rPr>
        <w:t>Hfort</w:t>
      </w:r>
      <w:r w:rsidRPr="005967A1">
        <w:t xml:space="preserve">, el mayor incumplimiento lo registra </w:t>
      </w:r>
      <w:r w:rsidR="00606611" w:rsidRPr="005967A1">
        <w:t>el transformador 66/15kV 25MVA N°1</w:t>
      </w:r>
      <w:r w:rsidRPr="005967A1">
        <w:t xml:space="preserve"> </w:t>
      </w:r>
      <w:r w:rsidR="00606611" w:rsidRPr="005967A1">
        <w:t xml:space="preserve">de S/E Las Encinas, </w:t>
      </w:r>
      <w:r w:rsidR="00AD3CA3" w:rsidRPr="005967A1">
        <w:t>con diferencia del orden de</w:t>
      </w:r>
      <w:r w:rsidRPr="005967A1">
        <w:t xml:space="preserve"> </w:t>
      </w:r>
      <w:r w:rsidR="00272574" w:rsidRPr="005967A1">
        <w:t>1</w:t>
      </w:r>
      <w:r w:rsidR="00AD3CA3" w:rsidRPr="005967A1">
        <w:t>.</w:t>
      </w:r>
      <w:r w:rsidR="00272574" w:rsidRPr="005967A1">
        <w:t>879</w:t>
      </w:r>
      <w:r w:rsidR="00AD3CA3" w:rsidRPr="005967A1">
        <w:t>%</w:t>
      </w:r>
      <w:r w:rsidRPr="005967A1">
        <w:t xml:space="preserve"> respecto del estándar exigido (</w:t>
      </w:r>
      <w:r w:rsidR="00AD3CA3" w:rsidRPr="005967A1">
        <w:t>45</w:t>
      </w:r>
      <w:r w:rsidRPr="005967A1">
        <w:t xml:space="preserve">,0 como estándar versus un valor calculado de </w:t>
      </w:r>
      <w:r w:rsidR="00272574" w:rsidRPr="005967A1">
        <w:t>890,6</w:t>
      </w:r>
      <w:r w:rsidRPr="005967A1">
        <w:t>). Por otro lado, próximo a cumplir el estándar se encuentra</w:t>
      </w:r>
      <w:r w:rsidR="00861F05" w:rsidRPr="005967A1">
        <w:t xml:space="preserve"> el transformador </w:t>
      </w:r>
      <w:r w:rsidR="00C42610" w:rsidRPr="005967A1">
        <w:t>220</w:t>
      </w:r>
      <w:r w:rsidR="00861F05" w:rsidRPr="005967A1">
        <w:t>/</w:t>
      </w:r>
      <w:r w:rsidR="00C42610" w:rsidRPr="005967A1">
        <w:t>6,9</w:t>
      </w:r>
      <w:r w:rsidR="00861F05" w:rsidRPr="005967A1">
        <w:t>kV N°</w:t>
      </w:r>
      <w:r w:rsidR="00C42610" w:rsidRPr="005967A1">
        <w:t>2</w:t>
      </w:r>
      <w:r w:rsidR="00861F05" w:rsidRPr="005967A1">
        <w:t xml:space="preserve"> de </w:t>
      </w:r>
      <w:r w:rsidR="00C42610" w:rsidRPr="005967A1">
        <w:t>SE Puri</w:t>
      </w:r>
      <w:r w:rsidRPr="005967A1">
        <w:t xml:space="preserve">, con diferencia del orden del </w:t>
      </w:r>
      <w:r w:rsidR="00C42610" w:rsidRPr="005967A1">
        <w:t>1</w:t>
      </w:r>
      <w:r w:rsidRPr="005967A1">
        <w:t>,</w:t>
      </w:r>
      <w:r w:rsidR="00C42610" w:rsidRPr="005967A1">
        <w:t>1</w:t>
      </w:r>
      <w:r w:rsidRPr="005967A1">
        <w:t>% respecto del estándar exigido (</w:t>
      </w:r>
      <w:r w:rsidR="00861F05" w:rsidRPr="005967A1">
        <w:t>45</w:t>
      </w:r>
      <w:r w:rsidRPr="005967A1">
        <w:t xml:space="preserve">,0 como estándar versus un valor calculado de </w:t>
      </w:r>
      <w:r w:rsidR="00861F05" w:rsidRPr="005967A1">
        <w:t>4</w:t>
      </w:r>
      <w:r w:rsidR="00C42610" w:rsidRPr="005967A1">
        <w:t>5</w:t>
      </w:r>
      <w:r w:rsidRPr="005967A1">
        <w:t>,</w:t>
      </w:r>
      <w:r w:rsidR="00C42610" w:rsidRPr="005967A1">
        <w:t>5</w:t>
      </w:r>
      <w:r w:rsidRPr="005967A1">
        <w:t>).</w:t>
      </w:r>
    </w:p>
    <w:p w14:paraId="3369EA20" w14:textId="77777777" w:rsidR="005967A1" w:rsidRPr="005967A1" w:rsidRDefault="005967A1" w:rsidP="0069018E">
      <w:pPr>
        <w:rPr>
          <w:color w:val="007DB1" w:themeColor="background1"/>
        </w:rPr>
      </w:pPr>
    </w:p>
    <w:p w14:paraId="70F425F7" w14:textId="7D41E611" w:rsidR="00597923" w:rsidRPr="005967A1" w:rsidRDefault="0069018E" w:rsidP="0069018E">
      <w:r w:rsidRPr="005967A1">
        <w:t xml:space="preserve">Finalmente, para el caso del Índice </w:t>
      </w:r>
      <w:r w:rsidRPr="005967A1">
        <w:rPr>
          <w:b/>
          <w:u w:val="single"/>
        </w:rPr>
        <w:t>Ffor</w:t>
      </w:r>
      <w:r w:rsidRPr="005967A1">
        <w:rPr>
          <w:u w:val="single"/>
        </w:rPr>
        <w:t>t</w:t>
      </w:r>
      <w:r w:rsidRPr="005967A1">
        <w:t xml:space="preserve">, el mayor incumplimiento lo registra </w:t>
      </w:r>
      <w:r w:rsidR="00FD449A" w:rsidRPr="005967A1">
        <w:t xml:space="preserve">el transformador </w:t>
      </w:r>
      <w:r w:rsidR="00C42610" w:rsidRPr="005967A1">
        <w:t>2</w:t>
      </w:r>
      <w:r w:rsidR="00FC2C07" w:rsidRPr="005967A1">
        <w:t>2</w:t>
      </w:r>
      <w:r w:rsidR="00C42610" w:rsidRPr="005967A1">
        <w:t>0</w:t>
      </w:r>
      <w:r w:rsidR="005C7E1A" w:rsidRPr="005967A1">
        <w:t>/6</w:t>
      </w:r>
      <w:r w:rsidR="00C42610" w:rsidRPr="005967A1">
        <w:t>,9</w:t>
      </w:r>
      <w:r w:rsidR="005C7E1A" w:rsidRPr="005967A1">
        <w:t xml:space="preserve">kV </w:t>
      </w:r>
      <w:r w:rsidR="00C42610" w:rsidRPr="005967A1">
        <w:t>N°2</w:t>
      </w:r>
      <w:r w:rsidR="00FD449A" w:rsidRPr="005967A1">
        <w:t xml:space="preserve">de S/E </w:t>
      </w:r>
      <w:r w:rsidR="00C42610" w:rsidRPr="005967A1">
        <w:t>Puri</w:t>
      </w:r>
      <w:r w:rsidR="00FD449A" w:rsidRPr="005967A1">
        <w:t xml:space="preserve"> </w:t>
      </w:r>
      <w:r w:rsidRPr="005967A1">
        <w:t xml:space="preserve">con diferencia del orden del </w:t>
      </w:r>
      <w:r w:rsidR="00C42610" w:rsidRPr="005967A1">
        <w:t>93,7</w:t>
      </w:r>
      <w:r w:rsidRPr="005967A1">
        <w:t xml:space="preserve">% </w:t>
      </w:r>
      <w:r w:rsidR="00FD449A" w:rsidRPr="005967A1">
        <w:t>respecto del estándar exigido (1</w:t>
      </w:r>
      <w:r w:rsidRPr="005967A1">
        <w:t xml:space="preserve">,0 como estándar versus un valor calculado de </w:t>
      </w:r>
      <w:r w:rsidR="00C42610" w:rsidRPr="005967A1">
        <w:t>1,9</w:t>
      </w:r>
      <w:r w:rsidRPr="005967A1">
        <w:t>). Por otro lado, próximo a cumplir el estándar se encuentra</w:t>
      </w:r>
      <w:r w:rsidR="00FD449A" w:rsidRPr="005967A1">
        <w:t xml:space="preserve">n </w:t>
      </w:r>
      <w:r w:rsidR="005C0E26" w:rsidRPr="005967A1">
        <w:t>ocho</w:t>
      </w:r>
      <w:r w:rsidR="00FD449A" w:rsidRPr="005967A1">
        <w:t xml:space="preserve"> transformadores, todas ello</w:t>
      </w:r>
      <w:r w:rsidRPr="005967A1">
        <w:t>s con diferencia del orden del 2</w:t>
      </w:r>
      <w:r w:rsidR="00FD449A" w:rsidRPr="005967A1">
        <w:t>0</w:t>
      </w:r>
      <w:r w:rsidRPr="005967A1">
        <w:t>,</w:t>
      </w:r>
      <w:r w:rsidR="00FD449A" w:rsidRPr="005967A1">
        <w:t>0</w:t>
      </w:r>
      <w:r w:rsidRPr="005967A1">
        <w:t>% respecto del estándar exigido (1,0 como estándar versus un valor calculado de 1</w:t>
      </w:r>
      <w:r w:rsidR="00FD449A" w:rsidRPr="005967A1">
        <w:t>,</w:t>
      </w:r>
      <w:r w:rsidRPr="005967A1">
        <w:t>2</w:t>
      </w:r>
      <w:r w:rsidR="00FD449A" w:rsidRPr="005967A1">
        <w:t xml:space="preserve">). Los transformadores </w:t>
      </w:r>
      <w:r w:rsidR="00597923" w:rsidRPr="005967A1">
        <w:t>se muestran en la siguiente tabla:</w:t>
      </w:r>
    </w:p>
    <w:tbl>
      <w:tblPr>
        <w:tblStyle w:val="Tablaconcuadrcula"/>
        <w:tblW w:w="0" w:type="auto"/>
        <w:tblInd w:w="2547" w:type="dxa"/>
        <w:tblBorders>
          <w:top w:val="single" w:sz="4" w:space="0" w:color="00AEC5" w:themeColor="accent1"/>
          <w:left w:val="single" w:sz="4" w:space="0" w:color="00AEC5" w:themeColor="accent1"/>
          <w:bottom w:val="single" w:sz="4" w:space="0" w:color="00AEC5" w:themeColor="accent1"/>
          <w:right w:val="single" w:sz="4" w:space="0" w:color="00AEC5" w:themeColor="accent1"/>
          <w:insideH w:val="single" w:sz="4" w:space="0" w:color="00AEC5" w:themeColor="accent1"/>
          <w:insideV w:val="single" w:sz="4" w:space="0" w:color="00AEC5" w:themeColor="accent1"/>
        </w:tblBorders>
        <w:tblLook w:val="04A0" w:firstRow="1" w:lastRow="0" w:firstColumn="1" w:lastColumn="0" w:noHBand="0" w:noVBand="1"/>
      </w:tblPr>
      <w:tblGrid>
        <w:gridCol w:w="2126"/>
        <w:gridCol w:w="1910"/>
      </w:tblGrid>
      <w:tr w:rsidR="00597923" w:rsidRPr="005967A1" w14:paraId="326C0E15" w14:textId="77777777" w:rsidTr="003B5B0B">
        <w:trPr>
          <w:trHeight w:val="283"/>
        </w:trPr>
        <w:tc>
          <w:tcPr>
            <w:tcW w:w="0" w:type="auto"/>
            <w:shd w:val="clear" w:color="auto" w:fill="00AEC5" w:themeFill="accent1"/>
          </w:tcPr>
          <w:p w14:paraId="61615DE4" w14:textId="77777777" w:rsidR="00597923" w:rsidRPr="005967A1" w:rsidRDefault="00597923" w:rsidP="00597923">
            <w:pPr>
              <w:spacing w:before="0" w:after="0"/>
              <w:jc w:val="center"/>
              <w:rPr>
                <w:b/>
                <w:color w:val="FFFFFF"/>
                <w:sz w:val="18"/>
              </w:rPr>
            </w:pPr>
            <w:r w:rsidRPr="005967A1">
              <w:rPr>
                <w:b/>
                <w:color w:val="FFFFFF"/>
                <w:sz w:val="18"/>
              </w:rPr>
              <w:t>Subestación</w:t>
            </w:r>
          </w:p>
        </w:tc>
        <w:tc>
          <w:tcPr>
            <w:tcW w:w="0" w:type="auto"/>
            <w:shd w:val="clear" w:color="auto" w:fill="00AEC5" w:themeFill="accent1"/>
          </w:tcPr>
          <w:p w14:paraId="6F5BDE4C" w14:textId="77777777" w:rsidR="00597923" w:rsidRPr="005967A1" w:rsidRDefault="00597923" w:rsidP="00597923">
            <w:pPr>
              <w:spacing w:before="0" w:after="0"/>
              <w:jc w:val="center"/>
              <w:rPr>
                <w:b/>
                <w:color w:val="FFFFFF"/>
                <w:sz w:val="18"/>
              </w:rPr>
            </w:pPr>
            <w:r w:rsidRPr="005967A1">
              <w:rPr>
                <w:b/>
                <w:color w:val="FFFFFF"/>
                <w:sz w:val="18"/>
              </w:rPr>
              <w:t>Transformador</w:t>
            </w:r>
          </w:p>
        </w:tc>
      </w:tr>
      <w:tr w:rsidR="00597923" w:rsidRPr="005967A1" w14:paraId="6ECFCD90" w14:textId="77777777" w:rsidTr="003B5B0B">
        <w:trPr>
          <w:trHeight w:val="283"/>
        </w:trPr>
        <w:tc>
          <w:tcPr>
            <w:tcW w:w="0" w:type="auto"/>
          </w:tcPr>
          <w:p w14:paraId="6C51EC58" w14:textId="77777777" w:rsidR="00597923" w:rsidRPr="005967A1" w:rsidRDefault="00597923" w:rsidP="00597923">
            <w:pPr>
              <w:spacing w:before="0" w:after="0"/>
              <w:jc w:val="center"/>
              <w:rPr>
                <w:sz w:val="18"/>
              </w:rPr>
            </w:pPr>
            <w:r w:rsidRPr="005967A1">
              <w:rPr>
                <w:sz w:val="18"/>
              </w:rPr>
              <w:t>Norgener</w:t>
            </w:r>
          </w:p>
        </w:tc>
        <w:tc>
          <w:tcPr>
            <w:tcW w:w="0" w:type="auto"/>
          </w:tcPr>
          <w:p w14:paraId="1DE4D518" w14:textId="77777777" w:rsidR="00597923" w:rsidRPr="005967A1" w:rsidRDefault="00597923" w:rsidP="00597923">
            <w:pPr>
              <w:spacing w:before="0" w:after="0"/>
              <w:jc w:val="center"/>
              <w:rPr>
                <w:sz w:val="18"/>
              </w:rPr>
            </w:pPr>
            <w:r w:rsidRPr="005967A1">
              <w:rPr>
                <w:sz w:val="18"/>
              </w:rPr>
              <w:t>220/5,3 kV</w:t>
            </w:r>
          </w:p>
        </w:tc>
      </w:tr>
      <w:tr w:rsidR="00597923" w:rsidRPr="005967A1" w14:paraId="688DC4E9" w14:textId="77777777" w:rsidTr="003B5B0B">
        <w:trPr>
          <w:trHeight w:val="283"/>
        </w:trPr>
        <w:tc>
          <w:tcPr>
            <w:tcW w:w="0" w:type="auto"/>
          </w:tcPr>
          <w:p w14:paraId="350DF0F8" w14:textId="77777777" w:rsidR="00597923" w:rsidRPr="005967A1" w:rsidRDefault="00597923" w:rsidP="00597923">
            <w:pPr>
              <w:spacing w:before="0" w:after="0"/>
              <w:jc w:val="center"/>
              <w:rPr>
                <w:sz w:val="18"/>
              </w:rPr>
            </w:pPr>
            <w:r w:rsidRPr="005967A1">
              <w:rPr>
                <w:sz w:val="18"/>
              </w:rPr>
              <w:t>Central Diésel Tamaya</w:t>
            </w:r>
          </w:p>
        </w:tc>
        <w:tc>
          <w:tcPr>
            <w:tcW w:w="0" w:type="auto"/>
          </w:tcPr>
          <w:p w14:paraId="72E2240C" w14:textId="77777777" w:rsidR="00597923" w:rsidRPr="005967A1" w:rsidRDefault="00597923" w:rsidP="00597923">
            <w:pPr>
              <w:spacing w:before="0" w:after="0"/>
              <w:jc w:val="center"/>
              <w:rPr>
                <w:sz w:val="18"/>
              </w:rPr>
            </w:pPr>
            <w:r w:rsidRPr="005967A1">
              <w:rPr>
                <w:sz w:val="18"/>
              </w:rPr>
              <w:t>110/23 kV N°4</w:t>
            </w:r>
          </w:p>
        </w:tc>
      </w:tr>
      <w:tr w:rsidR="00597923" w:rsidRPr="005967A1" w14:paraId="2AA05760" w14:textId="77777777" w:rsidTr="003B5B0B">
        <w:trPr>
          <w:trHeight w:val="283"/>
        </w:trPr>
        <w:tc>
          <w:tcPr>
            <w:tcW w:w="0" w:type="auto"/>
          </w:tcPr>
          <w:p w14:paraId="21C815DC" w14:textId="52CE1138" w:rsidR="00597923" w:rsidRPr="005967A1" w:rsidRDefault="000700E4" w:rsidP="00597923">
            <w:pPr>
              <w:spacing w:before="0" w:after="0"/>
              <w:jc w:val="center"/>
              <w:rPr>
                <w:sz w:val="18"/>
              </w:rPr>
            </w:pPr>
            <w:r w:rsidRPr="005967A1">
              <w:rPr>
                <w:sz w:val="18"/>
              </w:rPr>
              <w:t>Puri</w:t>
            </w:r>
          </w:p>
        </w:tc>
        <w:tc>
          <w:tcPr>
            <w:tcW w:w="0" w:type="auto"/>
          </w:tcPr>
          <w:p w14:paraId="13FB4C07" w14:textId="7474EA06" w:rsidR="00597923" w:rsidRPr="005967A1" w:rsidRDefault="000700E4" w:rsidP="00597923">
            <w:pPr>
              <w:spacing w:before="0" w:after="0"/>
              <w:jc w:val="center"/>
              <w:rPr>
                <w:sz w:val="18"/>
              </w:rPr>
            </w:pPr>
            <w:r w:rsidRPr="005967A1">
              <w:rPr>
                <w:sz w:val="18"/>
              </w:rPr>
              <w:t>220/6,9 KV N°2</w:t>
            </w:r>
          </w:p>
        </w:tc>
      </w:tr>
      <w:tr w:rsidR="00597923" w:rsidRPr="005967A1" w14:paraId="3AD68320" w14:textId="77777777" w:rsidTr="003B5B0B">
        <w:trPr>
          <w:trHeight w:val="283"/>
        </w:trPr>
        <w:tc>
          <w:tcPr>
            <w:tcW w:w="0" w:type="auto"/>
          </w:tcPr>
          <w:p w14:paraId="6444C581" w14:textId="77777777" w:rsidR="00597923" w:rsidRPr="005967A1" w:rsidRDefault="00597923" w:rsidP="00597923">
            <w:pPr>
              <w:spacing w:before="0" w:after="0"/>
              <w:jc w:val="center"/>
              <w:rPr>
                <w:sz w:val="18"/>
              </w:rPr>
            </w:pPr>
            <w:r w:rsidRPr="005967A1">
              <w:rPr>
                <w:sz w:val="18"/>
              </w:rPr>
              <w:t>Sulfuros</w:t>
            </w:r>
          </w:p>
        </w:tc>
        <w:tc>
          <w:tcPr>
            <w:tcW w:w="0" w:type="auto"/>
          </w:tcPr>
          <w:p w14:paraId="3D59D894" w14:textId="77777777" w:rsidR="00597923" w:rsidRPr="005967A1" w:rsidRDefault="00597923" w:rsidP="00597923">
            <w:pPr>
              <w:spacing w:before="0" w:after="0"/>
              <w:jc w:val="center"/>
              <w:rPr>
                <w:sz w:val="18"/>
              </w:rPr>
            </w:pPr>
            <w:r w:rsidRPr="005967A1">
              <w:rPr>
                <w:sz w:val="18"/>
              </w:rPr>
              <w:t>220/69/13.8 kV N°1</w:t>
            </w:r>
          </w:p>
        </w:tc>
      </w:tr>
      <w:tr w:rsidR="00597923" w:rsidRPr="005967A1" w14:paraId="1BD28B29" w14:textId="77777777" w:rsidTr="003B5B0B">
        <w:trPr>
          <w:trHeight w:val="283"/>
        </w:trPr>
        <w:tc>
          <w:tcPr>
            <w:tcW w:w="0" w:type="auto"/>
          </w:tcPr>
          <w:p w14:paraId="527148E7" w14:textId="77777777" w:rsidR="00597923" w:rsidRPr="005967A1" w:rsidRDefault="00597923" w:rsidP="00597923">
            <w:pPr>
              <w:spacing w:before="0" w:after="0"/>
              <w:jc w:val="center"/>
              <w:rPr>
                <w:sz w:val="18"/>
              </w:rPr>
            </w:pPr>
            <w:r w:rsidRPr="005967A1">
              <w:rPr>
                <w:sz w:val="18"/>
              </w:rPr>
              <w:t>Sierra Gorda</w:t>
            </w:r>
          </w:p>
        </w:tc>
        <w:tc>
          <w:tcPr>
            <w:tcW w:w="0" w:type="auto"/>
          </w:tcPr>
          <w:p w14:paraId="5F069D6F" w14:textId="77777777" w:rsidR="00597923" w:rsidRPr="005967A1" w:rsidRDefault="00597923" w:rsidP="00597923">
            <w:pPr>
              <w:spacing w:before="0" w:after="0"/>
              <w:jc w:val="center"/>
              <w:rPr>
                <w:sz w:val="18"/>
              </w:rPr>
            </w:pPr>
            <w:r w:rsidRPr="005967A1">
              <w:rPr>
                <w:sz w:val="18"/>
              </w:rPr>
              <w:t>220/33 kV N°2</w:t>
            </w:r>
          </w:p>
        </w:tc>
      </w:tr>
    </w:tbl>
    <w:p w14:paraId="77316395" w14:textId="104ADD84" w:rsidR="007B2B3F" w:rsidRPr="005967A1" w:rsidRDefault="00AA1A60" w:rsidP="007B2B3F">
      <w:pPr>
        <w:pStyle w:val="Ttulo4"/>
      </w:pPr>
      <w:r w:rsidRPr="005967A1">
        <w:t>EQUIPOS DE COMPENSACIÓN</w:t>
      </w:r>
    </w:p>
    <w:p w14:paraId="3CC6341B" w14:textId="74C26D54" w:rsidR="00527F2B" w:rsidRPr="00F71250" w:rsidRDefault="004A486F" w:rsidP="00527F2B">
      <w:bookmarkStart w:id="59" w:name="_Toc472093742"/>
      <w:bookmarkStart w:id="60" w:name="_Toc472328317"/>
      <w:bookmarkEnd w:id="22"/>
      <w:bookmarkEnd w:id="23"/>
      <w:r w:rsidRPr="00F71250">
        <w:t>P</w:t>
      </w:r>
      <w:r w:rsidR="00527F2B" w:rsidRPr="00F71250">
        <w:t xml:space="preserve">ara el caso de los </w:t>
      </w:r>
      <w:r w:rsidRPr="00F71250">
        <w:t>equipos de compensación</w:t>
      </w:r>
      <w:r w:rsidR="00527F2B" w:rsidRPr="00F71250">
        <w:t xml:space="preserve"> catastrados en el SEN</w:t>
      </w:r>
      <w:r w:rsidR="005C545B">
        <w:t>,</w:t>
      </w:r>
      <w:r w:rsidR="00527F2B" w:rsidRPr="00F71250">
        <w:t xml:space="preserve"> </w:t>
      </w:r>
      <w:r w:rsidRPr="00F71250">
        <w:t xml:space="preserve">conformados por </w:t>
      </w:r>
      <w:r w:rsidR="005C545B">
        <w:t>449</w:t>
      </w:r>
      <w:r w:rsidR="00527F2B" w:rsidRPr="00F71250">
        <w:t xml:space="preserve"> </w:t>
      </w:r>
      <w:r w:rsidRPr="00F71250">
        <w:t xml:space="preserve">equipos que incluyen bancos de condensadores, compensadores, condensadores serie y reactores, </w:t>
      </w:r>
      <w:r w:rsidR="005C545B">
        <w:t>y de los cuales 416 disponen de 5 o más años de antigüedad para efectos de cálculo</w:t>
      </w:r>
      <w:r w:rsidR="005C545B" w:rsidRPr="00D525D4">
        <w:t xml:space="preserve"> </w:t>
      </w:r>
      <w:r w:rsidR="005C545B">
        <w:t>de</w:t>
      </w:r>
      <w:r w:rsidR="005C545B" w:rsidRPr="00D525D4">
        <w:t xml:space="preserve"> índices</w:t>
      </w:r>
      <w:r w:rsidR="005C545B">
        <w:t>,</w:t>
      </w:r>
      <w:r w:rsidR="005C545B" w:rsidRPr="00F71250">
        <w:t xml:space="preserve"> </w:t>
      </w:r>
      <w:r w:rsidRPr="00F71250">
        <w:t>se tiene</w:t>
      </w:r>
      <w:r w:rsidR="00F71250" w:rsidRPr="00F71250">
        <w:t xml:space="preserve"> el siguiente gráfico:</w:t>
      </w:r>
    </w:p>
    <w:p w14:paraId="1AC9B5B8" w14:textId="4B7F1A0A" w:rsidR="0029320B" w:rsidRPr="00F71250" w:rsidRDefault="005C545B" w:rsidP="00527F2B">
      <w:pPr>
        <w:jc w:val="center"/>
      </w:pPr>
      <w:r>
        <w:rPr>
          <w:noProof/>
        </w:rPr>
        <w:drawing>
          <wp:inline distT="0" distB="0" distL="0" distR="0" wp14:anchorId="7B9CD74A" wp14:editId="3EA50A62">
            <wp:extent cx="4901609" cy="2794082"/>
            <wp:effectExtent l="0" t="0" r="0" b="635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25614" cy="2807765"/>
                    </a:xfrm>
                    <a:prstGeom prst="rect">
                      <a:avLst/>
                    </a:prstGeom>
                    <a:noFill/>
                  </pic:spPr>
                </pic:pic>
              </a:graphicData>
            </a:graphic>
          </wp:inline>
        </w:drawing>
      </w:r>
    </w:p>
    <w:p w14:paraId="474D1961" w14:textId="77777777" w:rsidR="00527F2B" w:rsidRDefault="00633D15" w:rsidP="0029320B">
      <w:pPr>
        <w:pStyle w:val="Descripcin"/>
        <w:keepNext/>
      </w:pPr>
      <w:r w:rsidRPr="00F71250">
        <w:t>Figura 12:</w:t>
      </w:r>
      <w:r w:rsidR="00527F2B" w:rsidRPr="00F71250">
        <w:t xml:space="preserve"> Cumplimiento de índices de transmisión – </w:t>
      </w:r>
      <w:r w:rsidR="00F71250" w:rsidRPr="00F71250">
        <w:t>equipos de compensación</w:t>
      </w:r>
    </w:p>
    <w:p w14:paraId="73D3674A" w14:textId="77777777" w:rsidR="0029320B" w:rsidRPr="001F1FFB" w:rsidRDefault="0029320B" w:rsidP="0029320B">
      <w:pPr>
        <w:rPr>
          <w:sz w:val="20"/>
        </w:rPr>
      </w:pPr>
    </w:p>
    <w:p w14:paraId="63D3F137" w14:textId="16B14D5D" w:rsidR="00527F2B" w:rsidRPr="005967A1" w:rsidRDefault="00527F2B" w:rsidP="00527F2B">
      <w:pPr>
        <w:rPr>
          <w:color w:val="007DB1" w:themeColor="background1"/>
          <w:u w:val="single"/>
        </w:rPr>
      </w:pPr>
      <w:r w:rsidRPr="005967A1">
        <w:t xml:space="preserve">Para el caso del Índice </w:t>
      </w:r>
      <w:r w:rsidRPr="005967A1">
        <w:rPr>
          <w:b/>
          <w:u w:val="single"/>
        </w:rPr>
        <w:t>Hprot</w:t>
      </w:r>
      <w:r w:rsidRPr="005967A1">
        <w:rPr>
          <w:b/>
        </w:rPr>
        <w:t>,</w:t>
      </w:r>
      <w:r w:rsidRPr="005967A1">
        <w:t xml:space="preserve"> el mayor incumplimiento lo registra</w:t>
      </w:r>
      <w:r w:rsidR="007D206D" w:rsidRPr="005967A1">
        <w:t>n</w:t>
      </w:r>
      <w:r w:rsidRPr="005967A1">
        <w:t xml:space="preserve"> </w:t>
      </w:r>
      <w:r w:rsidR="007D206D" w:rsidRPr="005967A1">
        <w:t>los</w:t>
      </w:r>
      <w:r w:rsidR="004B74EE" w:rsidRPr="005967A1">
        <w:t xml:space="preserve"> reactores N°1, N°2 y N°3 de S/E Escondida 220 kV-BP1</w:t>
      </w:r>
      <w:r w:rsidRPr="005967A1">
        <w:t>,</w:t>
      </w:r>
      <w:r w:rsidR="004B74EE" w:rsidRPr="005967A1">
        <w:t xml:space="preserve"> con diferencia del orden del </w:t>
      </w:r>
      <w:r w:rsidR="00E33EA3" w:rsidRPr="005967A1">
        <w:t>17.928</w:t>
      </w:r>
      <w:r w:rsidRPr="005967A1">
        <w:t xml:space="preserve">% respecto del estándar exigido (30,0 como estándar versus un valor calculado de </w:t>
      </w:r>
      <w:r w:rsidR="00E33EA3" w:rsidRPr="005967A1">
        <w:t>5</w:t>
      </w:r>
      <w:r w:rsidRPr="005967A1">
        <w:t>.</w:t>
      </w:r>
      <w:r w:rsidR="00E33EA3" w:rsidRPr="005967A1">
        <w:t>408</w:t>
      </w:r>
      <w:r w:rsidRPr="005967A1">
        <w:t>,</w:t>
      </w:r>
      <w:r w:rsidR="004B74EE" w:rsidRPr="005967A1">
        <w:t>4</w:t>
      </w:r>
      <w:r w:rsidRPr="005967A1">
        <w:t xml:space="preserve">). Por otro lado, próximo a cumplir el estándar se encuentra el </w:t>
      </w:r>
      <w:r w:rsidR="004B74EE" w:rsidRPr="005967A1">
        <w:t>equipo reactor de S/E</w:t>
      </w:r>
      <w:r w:rsidR="00E33EA3" w:rsidRPr="005967A1">
        <w:t xml:space="preserve"> Maitencillo CE4</w:t>
      </w:r>
      <w:r w:rsidR="006A66EA" w:rsidRPr="005967A1">
        <w:t xml:space="preserve"> 13,2KV</w:t>
      </w:r>
      <w:r w:rsidR="00004B2D" w:rsidRPr="005967A1">
        <w:t xml:space="preserve"> 5,4 MV Ar</w:t>
      </w:r>
      <w:r w:rsidRPr="005967A1">
        <w:t xml:space="preserve">, con diferencia del orden del </w:t>
      </w:r>
      <w:r w:rsidR="00004B2D" w:rsidRPr="005967A1">
        <w:t>5</w:t>
      </w:r>
      <w:r w:rsidRPr="005967A1">
        <w:t>,</w:t>
      </w:r>
      <w:r w:rsidR="00004B2D" w:rsidRPr="005967A1">
        <w:t>7</w:t>
      </w:r>
      <w:r w:rsidRPr="005967A1">
        <w:t>% respecto del estándar exigido (30,0 como estándar versus un valor calculado de 3</w:t>
      </w:r>
      <w:r w:rsidR="00EB04BD" w:rsidRPr="005967A1">
        <w:t>1</w:t>
      </w:r>
      <w:r w:rsidRPr="005967A1">
        <w:t>,</w:t>
      </w:r>
      <w:r w:rsidR="00EB04BD" w:rsidRPr="005967A1">
        <w:t>7</w:t>
      </w:r>
      <w:r w:rsidRPr="005967A1">
        <w:t>).</w:t>
      </w:r>
    </w:p>
    <w:p w14:paraId="54D9C650" w14:textId="77777777" w:rsidR="00527F2B" w:rsidRPr="005967A1" w:rsidRDefault="00527F2B" w:rsidP="00527F2B">
      <w:pPr>
        <w:rPr>
          <w:color w:val="007DB1" w:themeColor="background1"/>
        </w:rPr>
      </w:pPr>
      <w:r w:rsidRPr="005967A1">
        <w:t xml:space="preserve">Para el caso del Índice </w:t>
      </w:r>
      <w:r w:rsidRPr="005967A1">
        <w:rPr>
          <w:b/>
          <w:u w:val="single"/>
        </w:rPr>
        <w:t>Hfort</w:t>
      </w:r>
      <w:r w:rsidRPr="005967A1">
        <w:t xml:space="preserve">, el mayor incumplimiento lo registra el </w:t>
      </w:r>
      <w:r w:rsidR="00EB6DB7" w:rsidRPr="005967A1">
        <w:t xml:space="preserve">Banco de condensadores de S/E </w:t>
      </w:r>
      <w:r w:rsidR="006563A1" w:rsidRPr="005967A1">
        <w:t>San Vicente de Tagua Tagua</w:t>
      </w:r>
      <w:r w:rsidR="00EB6DB7" w:rsidRPr="005967A1">
        <w:t xml:space="preserve"> CE1 </w:t>
      </w:r>
      <w:r w:rsidR="006563A1" w:rsidRPr="005967A1">
        <w:t>15</w:t>
      </w:r>
      <w:r w:rsidR="00EB6DB7" w:rsidRPr="005967A1">
        <w:t>kV</w:t>
      </w:r>
      <w:r w:rsidR="006563A1" w:rsidRPr="005967A1">
        <w:t xml:space="preserve"> 2,5 MVAr</w:t>
      </w:r>
      <w:r w:rsidR="00EB6DB7" w:rsidRPr="005967A1">
        <w:t xml:space="preserve">, </w:t>
      </w:r>
      <w:r w:rsidRPr="005967A1">
        <w:t xml:space="preserve">con diferencia del orden de </w:t>
      </w:r>
      <w:r w:rsidR="00565A9B" w:rsidRPr="005967A1">
        <w:t>1</w:t>
      </w:r>
      <w:r w:rsidRPr="005967A1">
        <w:t>.</w:t>
      </w:r>
      <w:r w:rsidR="006563A1" w:rsidRPr="005967A1">
        <w:t>459</w:t>
      </w:r>
      <w:r w:rsidRPr="005967A1">
        <w:t xml:space="preserve">% respecto del estándar exigido (45,0 como estándar versus un valor calculado de </w:t>
      </w:r>
      <w:r w:rsidR="006563A1" w:rsidRPr="005967A1">
        <w:t>701</w:t>
      </w:r>
      <w:r w:rsidR="003365B0" w:rsidRPr="005967A1">
        <w:t>,</w:t>
      </w:r>
      <w:r w:rsidR="006563A1" w:rsidRPr="005967A1">
        <w:t>5</w:t>
      </w:r>
      <w:r w:rsidRPr="005967A1">
        <w:t xml:space="preserve">). Por otro lado, próximo a cumplir el estándar se encuentra el </w:t>
      </w:r>
      <w:r w:rsidR="00A15B9D" w:rsidRPr="005967A1">
        <w:t xml:space="preserve">equipo de banco de condensadores en S/E </w:t>
      </w:r>
      <w:r w:rsidR="006563A1" w:rsidRPr="005967A1">
        <w:t>Copiapo</w:t>
      </w:r>
      <w:r w:rsidR="00A15B9D" w:rsidRPr="005967A1">
        <w:t xml:space="preserve"> C</w:t>
      </w:r>
      <w:r w:rsidR="006563A1" w:rsidRPr="005967A1">
        <w:t>C</w:t>
      </w:r>
      <w:r w:rsidR="00A15B9D" w:rsidRPr="005967A1">
        <w:t>E</w:t>
      </w:r>
      <w:r w:rsidR="006563A1" w:rsidRPr="005967A1">
        <w:t>5</w:t>
      </w:r>
      <w:r w:rsidR="00A15B9D" w:rsidRPr="005967A1">
        <w:t xml:space="preserve"> </w:t>
      </w:r>
      <w:r w:rsidR="006563A1" w:rsidRPr="005967A1">
        <w:t>13,8</w:t>
      </w:r>
      <w:r w:rsidR="00A15B9D" w:rsidRPr="005967A1">
        <w:t>kV 5 MVAr</w:t>
      </w:r>
      <w:r w:rsidRPr="005967A1">
        <w:t xml:space="preserve">, con diferencia del orden del </w:t>
      </w:r>
      <w:r w:rsidR="006563A1" w:rsidRPr="005967A1">
        <w:t>3</w:t>
      </w:r>
      <w:r w:rsidRPr="005967A1">
        <w:t>,</w:t>
      </w:r>
      <w:r w:rsidR="006563A1" w:rsidRPr="005967A1">
        <w:t>2</w:t>
      </w:r>
      <w:r w:rsidRPr="005967A1">
        <w:t>% respecto del estándar exigido (45,0 como estándar</w:t>
      </w:r>
      <w:r w:rsidR="00A15B9D" w:rsidRPr="005967A1">
        <w:t xml:space="preserve"> versus un valor calculado de </w:t>
      </w:r>
      <w:r w:rsidR="006563A1" w:rsidRPr="005967A1">
        <w:t>46</w:t>
      </w:r>
      <w:r w:rsidRPr="005967A1">
        <w:t>,</w:t>
      </w:r>
      <w:r w:rsidR="006563A1" w:rsidRPr="005967A1">
        <w:t>5</w:t>
      </w:r>
      <w:r w:rsidRPr="005967A1">
        <w:t>).</w:t>
      </w:r>
    </w:p>
    <w:p w14:paraId="4199C427" w14:textId="77777777" w:rsidR="0002290E" w:rsidRDefault="00527F2B" w:rsidP="00527F2B">
      <w:r w:rsidRPr="005967A1">
        <w:t xml:space="preserve">Finalmente, para el caso del Índice </w:t>
      </w:r>
      <w:r w:rsidRPr="005967A1">
        <w:rPr>
          <w:b/>
          <w:u w:val="single"/>
        </w:rPr>
        <w:t>Ffort</w:t>
      </w:r>
      <w:r w:rsidRPr="005967A1">
        <w:t xml:space="preserve">, el mayor incumplimiento lo registra el </w:t>
      </w:r>
      <w:r w:rsidR="003D493A" w:rsidRPr="005967A1">
        <w:t>equipo de compensación CER de S/E Maitencillo JT3 13,2 kV 24 MVAR</w:t>
      </w:r>
      <w:r w:rsidRPr="005967A1">
        <w:t xml:space="preserve"> con diferencia del orden del </w:t>
      </w:r>
      <w:r w:rsidR="003D493A" w:rsidRPr="005967A1">
        <w:t>140</w:t>
      </w:r>
      <w:r w:rsidRPr="005967A1">
        <w:t>% respecto del estándar exigido (1,0 como estánda</w:t>
      </w:r>
      <w:r w:rsidR="003D493A" w:rsidRPr="005967A1">
        <w:t>r versus un valor calculado de 2</w:t>
      </w:r>
      <w:r w:rsidRPr="005967A1">
        <w:t>,</w:t>
      </w:r>
      <w:r w:rsidR="003D493A" w:rsidRPr="005967A1">
        <w:t>4</w:t>
      </w:r>
      <w:r w:rsidRPr="005967A1">
        <w:t xml:space="preserve">). Por otro lado, próximo a cumplir el estándar se encuentran </w:t>
      </w:r>
      <w:r w:rsidR="006563A1" w:rsidRPr="005967A1">
        <w:t>los</w:t>
      </w:r>
      <w:r w:rsidR="009E4F20" w:rsidRPr="005967A1">
        <w:t xml:space="preserve"> equipo</w:t>
      </w:r>
      <w:r w:rsidR="006563A1" w:rsidRPr="005967A1">
        <w:t>s</w:t>
      </w:r>
      <w:r w:rsidR="009E4F20" w:rsidRPr="005967A1">
        <w:t xml:space="preserve"> compensador</w:t>
      </w:r>
      <w:r w:rsidR="006563A1" w:rsidRPr="005967A1">
        <w:t>es</w:t>
      </w:r>
      <w:r w:rsidR="009E4F20" w:rsidRPr="005967A1">
        <w:t xml:space="preserve"> STATCOM </w:t>
      </w:r>
      <w:r w:rsidR="00A75F67" w:rsidRPr="005967A1">
        <w:t>de</w:t>
      </w:r>
      <w:r w:rsidR="006563A1" w:rsidRPr="005967A1">
        <w:t xml:space="preserve"> </w:t>
      </w:r>
      <w:r w:rsidR="009E4F20" w:rsidRPr="005967A1">
        <w:t>S/E C</w:t>
      </w:r>
      <w:r w:rsidR="00A75F67" w:rsidRPr="005967A1">
        <w:t>erro Navia</w:t>
      </w:r>
      <w:r w:rsidR="009E4F20" w:rsidRPr="005967A1">
        <w:t xml:space="preserve"> 34</w:t>
      </w:r>
      <w:r w:rsidR="00A75F67" w:rsidRPr="005967A1">
        <w:t xml:space="preserve"> k</w:t>
      </w:r>
      <w:r w:rsidR="009E4F20" w:rsidRPr="005967A1">
        <w:t>V 140</w:t>
      </w:r>
      <w:r w:rsidR="00A75F67" w:rsidRPr="005967A1">
        <w:t xml:space="preserve"> </w:t>
      </w:r>
      <w:r w:rsidR="009E4F20" w:rsidRPr="005967A1">
        <w:t>MVA</w:t>
      </w:r>
      <w:r w:rsidR="00A75F67" w:rsidRPr="005967A1">
        <w:t>r</w:t>
      </w:r>
      <w:r w:rsidRPr="005967A1">
        <w:t xml:space="preserve"> </w:t>
      </w:r>
      <w:r w:rsidR="00652B59" w:rsidRPr="005967A1">
        <w:t xml:space="preserve">y </w:t>
      </w:r>
      <w:r w:rsidR="006563A1" w:rsidRPr="005967A1">
        <w:t>SVC Plus</w:t>
      </w:r>
      <w:r w:rsidR="00A75F67" w:rsidRPr="005967A1">
        <w:t xml:space="preserve"> de</w:t>
      </w:r>
      <w:r w:rsidR="00652B59" w:rsidRPr="005967A1">
        <w:t xml:space="preserve"> S/E </w:t>
      </w:r>
      <w:r w:rsidR="006563A1" w:rsidRPr="005967A1">
        <w:t>Diego de Almagro</w:t>
      </w:r>
      <w:r w:rsidR="00652B59" w:rsidRPr="005967A1">
        <w:t xml:space="preserve"> J</w:t>
      </w:r>
      <w:r w:rsidR="006563A1" w:rsidRPr="005967A1">
        <w:t>T6</w:t>
      </w:r>
      <w:r w:rsidR="00A75F67" w:rsidRPr="005967A1">
        <w:t xml:space="preserve"> </w:t>
      </w:r>
      <w:r w:rsidR="006563A1" w:rsidRPr="005967A1">
        <w:t>13,9</w:t>
      </w:r>
      <w:r w:rsidR="00A75F67" w:rsidRPr="005967A1">
        <w:t>k</w:t>
      </w:r>
      <w:r w:rsidR="00652B59" w:rsidRPr="005967A1">
        <w:t>V</w:t>
      </w:r>
      <w:r w:rsidR="006563A1" w:rsidRPr="005967A1">
        <w:t xml:space="preserve"> 140 MVAr</w:t>
      </w:r>
      <w:r w:rsidR="00652B59" w:rsidRPr="005967A1">
        <w:t xml:space="preserve"> </w:t>
      </w:r>
      <w:r w:rsidRPr="005967A1">
        <w:t>con diferencia del orden del 20,0% respecto del estándar exigido (1,0 como estándar versus un valor calculado d</w:t>
      </w:r>
      <w:r w:rsidR="00A75F67" w:rsidRPr="005967A1">
        <w:t>e 1,2).</w:t>
      </w:r>
    </w:p>
    <w:p w14:paraId="4306E4E2" w14:textId="77777777" w:rsidR="0002290E" w:rsidRDefault="0002290E">
      <w:pPr>
        <w:spacing w:before="0" w:after="160" w:line="259" w:lineRule="auto"/>
        <w:jc w:val="left"/>
      </w:pPr>
      <w:r>
        <w:br w:type="page"/>
      </w:r>
    </w:p>
    <w:p w14:paraId="7A878E56" w14:textId="77777777" w:rsidR="0002290E" w:rsidRPr="0002290E" w:rsidRDefault="0002290E" w:rsidP="0002290E">
      <w:pPr>
        <w:pStyle w:val="Ttulo2"/>
        <w:ind w:left="357" w:hanging="357"/>
        <w:rPr>
          <w:caps w:val="0"/>
          <w:color w:val="auto"/>
        </w:rPr>
      </w:pPr>
      <w:bookmarkStart w:id="61" w:name="_Toc3370092"/>
      <w:bookmarkStart w:id="62" w:name="_Toc34319843"/>
      <w:r w:rsidRPr="0002290E">
        <w:rPr>
          <w:caps w:val="0"/>
          <w:color w:val="auto"/>
        </w:rPr>
        <w:t>SISTEMA DE MEDIDAS DE TRANSFERENCIAS ECONÓMICAS</w:t>
      </w:r>
      <w:bookmarkEnd w:id="61"/>
      <w:bookmarkEnd w:id="62"/>
    </w:p>
    <w:p w14:paraId="3D6C6A16" w14:textId="77777777" w:rsidR="0002290E" w:rsidRPr="0002290E" w:rsidRDefault="0002290E" w:rsidP="0002290E">
      <w:r w:rsidRPr="0002290E">
        <w:t>De acuerdo a lo dispuesto en los títulos 4-5 de la NTSyCS y 4-4 de la NTCO, las empresas coordinadas deben implementar los esquemas de medida de energía necesarios para los procesos del Coordinador.</w:t>
      </w:r>
    </w:p>
    <w:p w14:paraId="032E96C0" w14:textId="09615C26" w:rsidR="0002290E" w:rsidRPr="0002290E" w:rsidRDefault="0002290E" w:rsidP="0002290E">
      <w:r w:rsidRPr="0002290E">
        <w:t xml:space="preserve">Respecto a estas exigencias, se lista el estado de empresas en </w:t>
      </w:r>
      <w:r w:rsidR="00474997">
        <w:t xml:space="preserve">situación de no </w:t>
      </w:r>
      <w:r w:rsidRPr="0002290E">
        <w:t xml:space="preserve">cumplimiento, a </w:t>
      </w:r>
      <w:r>
        <w:t>diciembre</w:t>
      </w:r>
      <w:r w:rsidRPr="0002290E">
        <w:t xml:space="preserve"> de 201</w:t>
      </w:r>
      <w:r w:rsidR="003C2367">
        <w:t>9</w:t>
      </w:r>
      <w:r w:rsidRPr="0002290E">
        <w:t>. Dichos estados se agrupan de la siguiente manera:</w:t>
      </w:r>
    </w:p>
    <w:p w14:paraId="2D5A058A" w14:textId="77777777" w:rsidR="0002290E" w:rsidRPr="0002290E" w:rsidRDefault="0002290E" w:rsidP="0002290E">
      <w:pPr>
        <w:pStyle w:val="Prrafodelista"/>
        <w:numPr>
          <w:ilvl w:val="0"/>
          <w:numId w:val="46"/>
        </w:numPr>
        <w:ind w:left="851" w:hanging="425"/>
      </w:pPr>
      <w:r w:rsidRPr="0002290E">
        <w:t>NO CONECTADO, CON RESPUESTA CRONOGRAMA: Empresa coordinada no ha incorporado sus medidores a la plataforma del Coordinador, sin embargo, informa cronograma de trabajo para subsanar incumplimiento.</w:t>
      </w:r>
    </w:p>
    <w:p w14:paraId="7193450A" w14:textId="77777777" w:rsidR="0002290E" w:rsidRPr="0002290E" w:rsidRDefault="0002290E" w:rsidP="0002290E">
      <w:pPr>
        <w:pStyle w:val="Prrafodelista"/>
        <w:numPr>
          <w:ilvl w:val="0"/>
          <w:numId w:val="46"/>
        </w:numPr>
        <w:ind w:left="851" w:hanging="425"/>
      </w:pPr>
      <w:r w:rsidRPr="0002290E">
        <w:t>PROCESO DE NORMALIZACION: Empresa coordinada ha desarrollado trabajos para normalizar equipos de medida y enlace de comunicaciones, pero no ha normalizado la totalidad de sus instalaciones.</w:t>
      </w:r>
    </w:p>
    <w:p w14:paraId="39CC9389" w14:textId="77777777" w:rsidR="0002290E" w:rsidRPr="0002290E" w:rsidRDefault="0002290E" w:rsidP="0002290E">
      <w:pPr>
        <w:pStyle w:val="Prrafodelista"/>
        <w:numPr>
          <w:ilvl w:val="0"/>
          <w:numId w:val="46"/>
        </w:numPr>
        <w:ind w:left="851" w:hanging="425"/>
      </w:pPr>
      <w:r w:rsidRPr="0002290E">
        <w:t>SIN RESPUESTA: A la fecha, empresa coordinada no ha enviado cronograma de trabajo alguno.</w:t>
      </w:r>
    </w:p>
    <w:p w14:paraId="7844AED5" w14:textId="77777777" w:rsidR="0002290E" w:rsidRDefault="0002290E" w:rsidP="0002290E">
      <w:pPr>
        <w:rPr>
          <w:iCs/>
        </w:rPr>
        <w:sectPr w:rsidR="0002290E" w:rsidSect="008329B0">
          <w:type w:val="continuous"/>
          <w:pgSz w:w="12240" w:h="15840"/>
          <w:pgMar w:top="1134" w:right="902" w:bottom="1418" w:left="1418" w:header="284" w:footer="709" w:gutter="0"/>
          <w:cols w:space="708"/>
          <w:docGrid w:linePitch="360"/>
        </w:sectPr>
      </w:pPr>
    </w:p>
    <w:p w14:paraId="7DF406D4" w14:textId="7718DB05" w:rsidR="0002290E" w:rsidRDefault="0002290E" w:rsidP="0002290E">
      <w:pPr>
        <w:jc w:val="center"/>
        <w:rPr>
          <w:iCs/>
          <w:sz w:val="20"/>
        </w:rPr>
      </w:pPr>
      <w:r w:rsidRPr="006D3C08">
        <w:rPr>
          <w:iCs/>
          <w:sz w:val="20"/>
        </w:rPr>
        <w:t xml:space="preserve">Tabla </w:t>
      </w:r>
      <w:r w:rsidRPr="006D3C08">
        <w:rPr>
          <w:iCs/>
          <w:sz w:val="20"/>
        </w:rPr>
        <w:fldChar w:fldCharType="begin"/>
      </w:r>
      <w:r w:rsidRPr="006D3C08">
        <w:rPr>
          <w:iCs/>
          <w:sz w:val="20"/>
        </w:rPr>
        <w:instrText xml:space="preserve"> SEQ Tabla \* ARABIC </w:instrText>
      </w:r>
      <w:r w:rsidRPr="006D3C08">
        <w:rPr>
          <w:iCs/>
          <w:sz w:val="20"/>
        </w:rPr>
        <w:fldChar w:fldCharType="separate"/>
      </w:r>
      <w:r w:rsidR="00B62914">
        <w:rPr>
          <w:iCs/>
          <w:noProof/>
          <w:sz w:val="20"/>
        </w:rPr>
        <w:t>5</w:t>
      </w:r>
      <w:r w:rsidRPr="006D3C08">
        <w:rPr>
          <w:sz w:val="20"/>
        </w:rPr>
        <w:fldChar w:fldCharType="end"/>
      </w:r>
      <w:r w:rsidRPr="006D3C08">
        <w:rPr>
          <w:iCs/>
          <w:sz w:val="20"/>
        </w:rPr>
        <w:t xml:space="preserve">: </w:t>
      </w:r>
      <w:r w:rsidR="00474997">
        <w:rPr>
          <w:iCs/>
          <w:sz w:val="20"/>
        </w:rPr>
        <w:t>S</w:t>
      </w:r>
      <w:r w:rsidRPr="006D3C08">
        <w:rPr>
          <w:iCs/>
          <w:sz w:val="20"/>
        </w:rPr>
        <w:t>istema de Medidas para Transferencias Económicas</w:t>
      </w:r>
      <w:r w:rsidR="00474997">
        <w:rPr>
          <w:iCs/>
          <w:sz w:val="20"/>
        </w:rPr>
        <w:t xml:space="preserve"> – Coordinados en estado de No Cumplimiento</w:t>
      </w:r>
    </w:p>
    <w:tbl>
      <w:tblPr>
        <w:tblStyle w:val="Tablaconcuadrcula4-nfasis1"/>
        <w:tblW w:w="10774" w:type="dxa"/>
        <w:tblInd w:w="-431" w:type="dxa"/>
        <w:tblLook w:val="04A0" w:firstRow="1" w:lastRow="0" w:firstColumn="1" w:lastColumn="0" w:noHBand="0" w:noVBand="1"/>
      </w:tblPr>
      <w:tblGrid>
        <w:gridCol w:w="2978"/>
        <w:gridCol w:w="1572"/>
        <w:gridCol w:w="1151"/>
        <w:gridCol w:w="926"/>
        <w:gridCol w:w="4147"/>
      </w:tblGrid>
      <w:tr w:rsidR="003C2367" w:rsidRPr="003C2367" w14:paraId="50C2698D" w14:textId="77777777" w:rsidTr="00BE28C7">
        <w:trPr>
          <w:cnfStyle w:val="100000000000" w:firstRow="1" w:lastRow="0" w:firstColumn="0" w:lastColumn="0" w:oddVBand="0" w:evenVBand="0" w:oddHBand="0" w:evenHBand="0" w:firstRowFirstColumn="0" w:firstRowLastColumn="0" w:lastRowFirstColumn="0" w:lastRowLastColumn="0"/>
          <w:trHeight w:val="190"/>
          <w:tblHeader/>
        </w:trPr>
        <w:tc>
          <w:tcPr>
            <w:cnfStyle w:val="001000000000" w:firstRow="0" w:lastRow="0" w:firstColumn="1" w:lastColumn="0" w:oddVBand="0" w:evenVBand="0" w:oddHBand="0" w:evenHBand="0" w:firstRowFirstColumn="0" w:firstRowLastColumn="0" w:lastRowFirstColumn="0" w:lastRowLastColumn="0"/>
            <w:tcW w:w="2978" w:type="dxa"/>
            <w:noWrap/>
            <w:hideMark/>
          </w:tcPr>
          <w:p w14:paraId="59AA283D" w14:textId="77777777" w:rsidR="003C2367" w:rsidRPr="003C2367" w:rsidRDefault="003C2367" w:rsidP="003C2367">
            <w:pPr>
              <w:spacing w:before="0" w:after="0"/>
              <w:jc w:val="center"/>
              <w:rPr>
                <w:b w:val="0"/>
                <w:color w:val="FFFFFF"/>
                <w:sz w:val="18"/>
              </w:rPr>
            </w:pPr>
            <w:r w:rsidRPr="003C2367">
              <w:rPr>
                <w:b w:val="0"/>
                <w:color w:val="FFFFFF"/>
                <w:sz w:val="18"/>
              </w:rPr>
              <w:t>Empresa</w:t>
            </w:r>
          </w:p>
        </w:tc>
        <w:tc>
          <w:tcPr>
            <w:tcW w:w="1572" w:type="dxa"/>
            <w:noWrap/>
            <w:hideMark/>
          </w:tcPr>
          <w:p w14:paraId="6FD6A445" w14:textId="77777777" w:rsidR="003C2367" w:rsidRPr="003C2367" w:rsidRDefault="003C2367" w:rsidP="003C2367">
            <w:pPr>
              <w:spacing w:before="0" w:after="0"/>
              <w:jc w:val="center"/>
              <w:cnfStyle w:val="100000000000" w:firstRow="1" w:lastRow="0" w:firstColumn="0" w:lastColumn="0" w:oddVBand="0" w:evenVBand="0" w:oddHBand="0" w:evenHBand="0" w:firstRowFirstColumn="0" w:firstRowLastColumn="0" w:lastRowFirstColumn="0" w:lastRowLastColumn="0"/>
              <w:rPr>
                <w:b w:val="0"/>
                <w:color w:val="FFFFFF"/>
                <w:sz w:val="18"/>
              </w:rPr>
            </w:pPr>
            <w:r w:rsidRPr="003C2367">
              <w:rPr>
                <w:b w:val="0"/>
                <w:color w:val="FFFFFF"/>
                <w:sz w:val="18"/>
              </w:rPr>
              <w:t>Incumplimiento</w:t>
            </w:r>
          </w:p>
        </w:tc>
        <w:tc>
          <w:tcPr>
            <w:tcW w:w="1151" w:type="dxa"/>
            <w:noWrap/>
            <w:hideMark/>
          </w:tcPr>
          <w:p w14:paraId="1868CB6D" w14:textId="77777777" w:rsidR="003C2367" w:rsidRPr="003C2367" w:rsidRDefault="003C2367" w:rsidP="003C2367">
            <w:pPr>
              <w:spacing w:before="0" w:after="0"/>
              <w:jc w:val="center"/>
              <w:cnfStyle w:val="100000000000" w:firstRow="1" w:lastRow="0" w:firstColumn="0" w:lastColumn="0" w:oddVBand="0" w:evenVBand="0" w:oddHBand="0" w:evenHBand="0" w:firstRowFirstColumn="0" w:firstRowLastColumn="0" w:lastRowFirstColumn="0" w:lastRowLastColumn="0"/>
              <w:rPr>
                <w:b w:val="0"/>
                <w:color w:val="FFFFFF"/>
                <w:sz w:val="18"/>
              </w:rPr>
            </w:pPr>
            <w:r w:rsidRPr="003C2367">
              <w:rPr>
                <w:b w:val="0"/>
                <w:color w:val="FFFFFF"/>
                <w:sz w:val="18"/>
              </w:rPr>
              <w:t>Total</w:t>
            </w:r>
          </w:p>
        </w:tc>
        <w:tc>
          <w:tcPr>
            <w:tcW w:w="926" w:type="dxa"/>
            <w:noWrap/>
            <w:hideMark/>
          </w:tcPr>
          <w:p w14:paraId="0750DEDB" w14:textId="77777777" w:rsidR="003C2367" w:rsidRPr="003C2367" w:rsidRDefault="003C2367" w:rsidP="003C2367">
            <w:pPr>
              <w:spacing w:before="0" w:after="0"/>
              <w:jc w:val="center"/>
              <w:cnfStyle w:val="100000000000" w:firstRow="1" w:lastRow="0" w:firstColumn="0" w:lastColumn="0" w:oddVBand="0" w:evenVBand="0" w:oddHBand="0" w:evenHBand="0" w:firstRowFirstColumn="0" w:firstRowLastColumn="0" w:lastRowFirstColumn="0" w:lastRowLastColumn="0"/>
              <w:rPr>
                <w:b w:val="0"/>
                <w:color w:val="FFFFFF"/>
                <w:sz w:val="18"/>
              </w:rPr>
            </w:pPr>
            <w:r w:rsidRPr="003C2367">
              <w:rPr>
                <w:b w:val="0"/>
                <w:color w:val="FFFFFF"/>
                <w:sz w:val="18"/>
              </w:rPr>
              <w:t>Avance</w:t>
            </w:r>
          </w:p>
        </w:tc>
        <w:tc>
          <w:tcPr>
            <w:tcW w:w="4147" w:type="dxa"/>
            <w:hideMark/>
          </w:tcPr>
          <w:p w14:paraId="44822B42" w14:textId="77777777" w:rsidR="003C2367" w:rsidRPr="003C2367" w:rsidRDefault="003C2367" w:rsidP="003C2367">
            <w:pPr>
              <w:spacing w:before="0" w:after="0"/>
              <w:jc w:val="center"/>
              <w:cnfStyle w:val="100000000000" w:firstRow="1" w:lastRow="0" w:firstColumn="0" w:lastColumn="0" w:oddVBand="0" w:evenVBand="0" w:oddHBand="0" w:evenHBand="0" w:firstRowFirstColumn="0" w:firstRowLastColumn="0" w:lastRowFirstColumn="0" w:lastRowLastColumn="0"/>
              <w:rPr>
                <w:b w:val="0"/>
                <w:color w:val="FFFFFF"/>
                <w:sz w:val="18"/>
              </w:rPr>
            </w:pPr>
            <w:r w:rsidRPr="003C2367">
              <w:rPr>
                <w:b w:val="0"/>
                <w:color w:val="FFFFFF"/>
                <w:sz w:val="18"/>
              </w:rPr>
              <w:t>Estado Cumplimiento</w:t>
            </w:r>
          </w:p>
        </w:tc>
      </w:tr>
      <w:tr w:rsidR="003C2367" w:rsidRPr="00AC2A21" w14:paraId="7A9482E9" w14:textId="77777777" w:rsidTr="00BE28C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78" w:type="dxa"/>
            <w:tcBorders>
              <w:top w:val="single" w:sz="4" w:space="0" w:color="00AEC5" w:themeColor="accent1"/>
            </w:tcBorders>
            <w:shd w:val="clear" w:color="auto" w:fill="auto"/>
            <w:noWrap/>
            <w:hideMark/>
          </w:tcPr>
          <w:p w14:paraId="4D58399D" w14:textId="77777777" w:rsidR="003C2367" w:rsidRPr="00AC2A21" w:rsidRDefault="003C2367" w:rsidP="00E10B70">
            <w:pPr>
              <w:spacing w:before="0" w:after="0" w:line="240" w:lineRule="auto"/>
              <w:jc w:val="left"/>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AES GENER</w:t>
            </w:r>
          </w:p>
        </w:tc>
        <w:tc>
          <w:tcPr>
            <w:tcW w:w="1572" w:type="dxa"/>
            <w:tcBorders>
              <w:top w:val="single" w:sz="4" w:space="0" w:color="00AEC5" w:themeColor="accent1"/>
            </w:tcBorders>
            <w:shd w:val="clear" w:color="auto" w:fill="auto"/>
            <w:noWrap/>
            <w:hideMark/>
          </w:tcPr>
          <w:p w14:paraId="4CA70B62"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7</w:t>
            </w:r>
          </w:p>
        </w:tc>
        <w:tc>
          <w:tcPr>
            <w:tcW w:w="1151" w:type="dxa"/>
            <w:tcBorders>
              <w:top w:val="single" w:sz="4" w:space="0" w:color="00AEC5" w:themeColor="accent1"/>
            </w:tcBorders>
            <w:shd w:val="clear" w:color="auto" w:fill="auto"/>
            <w:noWrap/>
            <w:hideMark/>
          </w:tcPr>
          <w:p w14:paraId="3F6C9627"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147</w:t>
            </w:r>
          </w:p>
        </w:tc>
        <w:tc>
          <w:tcPr>
            <w:tcW w:w="926" w:type="dxa"/>
            <w:tcBorders>
              <w:top w:val="single" w:sz="4" w:space="0" w:color="00AEC5" w:themeColor="accent1"/>
            </w:tcBorders>
            <w:shd w:val="clear" w:color="auto" w:fill="auto"/>
            <w:noWrap/>
            <w:hideMark/>
          </w:tcPr>
          <w:p w14:paraId="43C9310E"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95%</w:t>
            </w:r>
          </w:p>
        </w:tc>
        <w:tc>
          <w:tcPr>
            <w:tcW w:w="4147" w:type="dxa"/>
            <w:tcBorders>
              <w:top w:val="single" w:sz="4" w:space="0" w:color="00AEC5" w:themeColor="accent1"/>
            </w:tcBorders>
            <w:shd w:val="clear" w:color="auto" w:fill="auto"/>
            <w:hideMark/>
          </w:tcPr>
          <w:p w14:paraId="186BCC97" w14:textId="77777777" w:rsidR="003C2367" w:rsidRPr="00AC2A21" w:rsidRDefault="003C2367" w:rsidP="00E10B7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PROCESO DE NORMALIZACIÓN</w:t>
            </w:r>
          </w:p>
        </w:tc>
      </w:tr>
      <w:tr w:rsidR="003C2367" w:rsidRPr="00AC2A21" w14:paraId="7DAB993D" w14:textId="77777777" w:rsidTr="00BE28C7">
        <w:trPr>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2E6F1E7B" w14:textId="77777777" w:rsidR="003C2367" w:rsidRPr="00AC2A21" w:rsidRDefault="003C2367" w:rsidP="003C2367">
            <w:pPr>
              <w:spacing w:before="0" w:after="0" w:line="240" w:lineRule="auto"/>
              <w:jc w:val="left"/>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CAP CMP</w:t>
            </w:r>
          </w:p>
        </w:tc>
        <w:tc>
          <w:tcPr>
            <w:tcW w:w="1572" w:type="dxa"/>
            <w:shd w:val="clear" w:color="auto" w:fill="auto"/>
            <w:noWrap/>
            <w:hideMark/>
          </w:tcPr>
          <w:p w14:paraId="77F115A5" w14:textId="77777777" w:rsidR="003C2367" w:rsidRPr="00AC2A21" w:rsidRDefault="003C2367" w:rsidP="003C236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10</w:t>
            </w:r>
          </w:p>
        </w:tc>
        <w:tc>
          <w:tcPr>
            <w:tcW w:w="1151" w:type="dxa"/>
            <w:shd w:val="clear" w:color="auto" w:fill="auto"/>
            <w:noWrap/>
            <w:hideMark/>
          </w:tcPr>
          <w:p w14:paraId="76D84749" w14:textId="77777777" w:rsidR="003C2367" w:rsidRPr="00AC2A21" w:rsidRDefault="003C2367" w:rsidP="003C236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12</w:t>
            </w:r>
          </w:p>
        </w:tc>
        <w:tc>
          <w:tcPr>
            <w:tcW w:w="926" w:type="dxa"/>
            <w:shd w:val="clear" w:color="auto" w:fill="auto"/>
            <w:noWrap/>
            <w:hideMark/>
          </w:tcPr>
          <w:p w14:paraId="6233AE88" w14:textId="77777777" w:rsidR="003C2367" w:rsidRPr="00AC2A21" w:rsidRDefault="003C2367" w:rsidP="003C236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17%</w:t>
            </w:r>
          </w:p>
        </w:tc>
        <w:tc>
          <w:tcPr>
            <w:tcW w:w="4147" w:type="dxa"/>
            <w:shd w:val="clear" w:color="auto" w:fill="auto"/>
            <w:hideMark/>
          </w:tcPr>
          <w:p w14:paraId="73BB90B6" w14:textId="5EE6CDCB" w:rsidR="003C2367" w:rsidRPr="00AC2A21" w:rsidRDefault="003C2367" w:rsidP="003C2367">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PROCESO DE NORMALIZACIÓN</w:t>
            </w:r>
          </w:p>
        </w:tc>
      </w:tr>
      <w:tr w:rsidR="003C2367" w:rsidRPr="00AC2A21" w14:paraId="23EAD955" w14:textId="77777777" w:rsidTr="00BE28C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3B22B491" w14:textId="77777777" w:rsidR="003C2367" w:rsidRPr="00AC2A21" w:rsidRDefault="003C2367" w:rsidP="00E10B70">
            <w:pPr>
              <w:spacing w:before="0" w:after="0" w:line="240" w:lineRule="auto"/>
              <w:jc w:val="left"/>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CGE</w:t>
            </w:r>
          </w:p>
        </w:tc>
        <w:tc>
          <w:tcPr>
            <w:tcW w:w="1572" w:type="dxa"/>
            <w:shd w:val="clear" w:color="auto" w:fill="auto"/>
            <w:noWrap/>
            <w:hideMark/>
          </w:tcPr>
          <w:p w14:paraId="3D75FECF"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37</w:t>
            </w:r>
          </w:p>
        </w:tc>
        <w:tc>
          <w:tcPr>
            <w:tcW w:w="1151" w:type="dxa"/>
            <w:shd w:val="clear" w:color="auto" w:fill="auto"/>
            <w:noWrap/>
            <w:hideMark/>
          </w:tcPr>
          <w:p w14:paraId="72BD26C2"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1164</w:t>
            </w:r>
          </w:p>
        </w:tc>
        <w:tc>
          <w:tcPr>
            <w:tcW w:w="926" w:type="dxa"/>
            <w:shd w:val="clear" w:color="auto" w:fill="auto"/>
            <w:noWrap/>
            <w:hideMark/>
          </w:tcPr>
          <w:p w14:paraId="5D84DF54"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97%</w:t>
            </w:r>
          </w:p>
        </w:tc>
        <w:tc>
          <w:tcPr>
            <w:tcW w:w="4147" w:type="dxa"/>
            <w:shd w:val="clear" w:color="auto" w:fill="auto"/>
            <w:hideMark/>
          </w:tcPr>
          <w:p w14:paraId="4D788749" w14:textId="77777777" w:rsidR="003C2367" w:rsidRPr="00AC2A21" w:rsidRDefault="003C2367" w:rsidP="00E10B7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PROCESO DE NORMALIZACIÓN</w:t>
            </w:r>
          </w:p>
        </w:tc>
      </w:tr>
      <w:tr w:rsidR="003C2367" w:rsidRPr="00AC2A21" w14:paraId="1F34666B" w14:textId="77777777" w:rsidTr="00BE28C7">
        <w:trPr>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03A0553E" w14:textId="77777777" w:rsidR="003C2367" w:rsidRPr="00AC2A21" w:rsidRDefault="003C2367" w:rsidP="00E10B70">
            <w:pPr>
              <w:spacing w:before="0" w:after="0" w:line="240" w:lineRule="auto"/>
              <w:jc w:val="left"/>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EFE</w:t>
            </w:r>
          </w:p>
        </w:tc>
        <w:tc>
          <w:tcPr>
            <w:tcW w:w="1572" w:type="dxa"/>
            <w:shd w:val="clear" w:color="auto" w:fill="auto"/>
            <w:noWrap/>
            <w:hideMark/>
          </w:tcPr>
          <w:p w14:paraId="38F2EA50"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13</w:t>
            </w:r>
          </w:p>
        </w:tc>
        <w:tc>
          <w:tcPr>
            <w:tcW w:w="1151" w:type="dxa"/>
            <w:shd w:val="clear" w:color="auto" w:fill="auto"/>
            <w:noWrap/>
            <w:hideMark/>
          </w:tcPr>
          <w:p w14:paraId="5A13E124"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29</w:t>
            </w:r>
          </w:p>
        </w:tc>
        <w:tc>
          <w:tcPr>
            <w:tcW w:w="926" w:type="dxa"/>
            <w:shd w:val="clear" w:color="auto" w:fill="auto"/>
            <w:noWrap/>
            <w:hideMark/>
          </w:tcPr>
          <w:p w14:paraId="47B1195D"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55%</w:t>
            </w:r>
          </w:p>
        </w:tc>
        <w:tc>
          <w:tcPr>
            <w:tcW w:w="4147" w:type="dxa"/>
            <w:shd w:val="clear" w:color="auto" w:fill="auto"/>
            <w:hideMark/>
          </w:tcPr>
          <w:p w14:paraId="7026E537" w14:textId="77777777" w:rsidR="003C2367" w:rsidRPr="00AC2A21" w:rsidRDefault="003C2367" w:rsidP="00E10B7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PROCESO DE NORMALIZACIÓN</w:t>
            </w:r>
          </w:p>
        </w:tc>
      </w:tr>
      <w:tr w:rsidR="003C2367" w:rsidRPr="00AC2A21" w14:paraId="5A03C793" w14:textId="77777777" w:rsidTr="00BE28C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3849DF07" w14:textId="77777777" w:rsidR="003C2367" w:rsidRPr="00AC2A21" w:rsidRDefault="003C2367" w:rsidP="00E10B70">
            <w:pPr>
              <w:spacing w:before="0" w:after="0" w:line="240" w:lineRule="auto"/>
              <w:jc w:val="left"/>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CONTRA</w:t>
            </w:r>
          </w:p>
        </w:tc>
        <w:tc>
          <w:tcPr>
            <w:tcW w:w="1572" w:type="dxa"/>
            <w:shd w:val="clear" w:color="auto" w:fill="auto"/>
            <w:noWrap/>
            <w:hideMark/>
          </w:tcPr>
          <w:p w14:paraId="04FDE650"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1</w:t>
            </w:r>
          </w:p>
        </w:tc>
        <w:tc>
          <w:tcPr>
            <w:tcW w:w="1151" w:type="dxa"/>
            <w:shd w:val="clear" w:color="auto" w:fill="auto"/>
            <w:noWrap/>
            <w:hideMark/>
          </w:tcPr>
          <w:p w14:paraId="1B794B94"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1</w:t>
            </w:r>
          </w:p>
        </w:tc>
        <w:tc>
          <w:tcPr>
            <w:tcW w:w="926" w:type="dxa"/>
            <w:shd w:val="clear" w:color="auto" w:fill="auto"/>
            <w:noWrap/>
            <w:hideMark/>
          </w:tcPr>
          <w:p w14:paraId="17552F4E"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0%</w:t>
            </w:r>
          </w:p>
        </w:tc>
        <w:tc>
          <w:tcPr>
            <w:tcW w:w="4147" w:type="dxa"/>
            <w:shd w:val="clear" w:color="auto" w:fill="auto"/>
            <w:hideMark/>
          </w:tcPr>
          <w:p w14:paraId="3A048234" w14:textId="77777777" w:rsidR="003C2367" w:rsidRPr="00AC2A21" w:rsidRDefault="003C2367" w:rsidP="00E10B7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SIN RESPUESTA</w:t>
            </w:r>
          </w:p>
        </w:tc>
      </w:tr>
      <w:tr w:rsidR="003C2367" w:rsidRPr="00AC2A21" w14:paraId="464C8885" w14:textId="77777777" w:rsidTr="00BE28C7">
        <w:trPr>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5E0C4591" w14:textId="77777777" w:rsidR="003C2367" w:rsidRPr="00AC2A21" w:rsidRDefault="003C2367" w:rsidP="00E10B70">
            <w:pPr>
              <w:spacing w:before="0" w:after="0" w:line="240" w:lineRule="auto"/>
              <w:jc w:val="left"/>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CURILEUFU</w:t>
            </w:r>
          </w:p>
        </w:tc>
        <w:tc>
          <w:tcPr>
            <w:tcW w:w="1572" w:type="dxa"/>
            <w:shd w:val="clear" w:color="auto" w:fill="auto"/>
            <w:noWrap/>
            <w:hideMark/>
          </w:tcPr>
          <w:p w14:paraId="17D5AC7C"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2</w:t>
            </w:r>
          </w:p>
        </w:tc>
        <w:tc>
          <w:tcPr>
            <w:tcW w:w="1151" w:type="dxa"/>
            <w:shd w:val="clear" w:color="auto" w:fill="auto"/>
            <w:noWrap/>
            <w:hideMark/>
          </w:tcPr>
          <w:p w14:paraId="7B46DE98"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2</w:t>
            </w:r>
          </w:p>
        </w:tc>
        <w:tc>
          <w:tcPr>
            <w:tcW w:w="926" w:type="dxa"/>
            <w:shd w:val="clear" w:color="auto" w:fill="auto"/>
            <w:noWrap/>
            <w:hideMark/>
          </w:tcPr>
          <w:p w14:paraId="68D66D58"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0%</w:t>
            </w:r>
          </w:p>
        </w:tc>
        <w:tc>
          <w:tcPr>
            <w:tcW w:w="4147" w:type="dxa"/>
            <w:shd w:val="clear" w:color="auto" w:fill="auto"/>
            <w:hideMark/>
          </w:tcPr>
          <w:p w14:paraId="052DBA30" w14:textId="77777777" w:rsidR="003C2367" w:rsidRPr="00AC2A21" w:rsidRDefault="003C2367" w:rsidP="00E10B7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PROCESO DE NORMALIZACIÓN</w:t>
            </w:r>
          </w:p>
        </w:tc>
      </w:tr>
      <w:tr w:rsidR="003C2367" w:rsidRPr="00AC2A21" w14:paraId="01517F20" w14:textId="77777777" w:rsidTr="00BE28C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011E424B" w14:textId="77777777" w:rsidR="003C2367" w:rsidRPr="00AC2A21" w:rsidRDefault="003C2367" w:rsidP="00E10B70">
            <w:pPr>
              <w:spacing w:before="0" w:after="0" w:line="240" w:lineRule="auto"/>
              <w:jc w:val="left"/>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DOSAL</w:t>
            </w:r>
          </w:p>
        </w:tc>
        <w:tc>
          <w:tcPr>
            <w:tcW w:w="1572" w:type="dxa"/>
            <w:shd w:val="clear" w:color="auto" w:fill="auto"/>
            <w:noWrap/>
            <w:hideMark/>
          </w:tcPr>
          <w:p w14:paraId="00E1E0E9"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1</w:t>
            </w:r>
          </w:p>
        </w:tc>
        <w:tc>
          <w:tcPr>
            <w:tcW w:w="1151" w:type="dxa"/>
            <w:shd w:val="clear" w:color="auto" w:fill="auto"/>
            <w:noWrap/>
            <w:hideMark/>
          </w:tcPr>
          <w:p w14:paraId="747DFDD2"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1</w:t>
            </w:r>
          </w:p>
        </w:tc>
        <w:tc>
          <w:tcPr>
            <w:tcW w:w="926" w:type="dxa"/>
            <w:shd w:val="clear" w:color="auto" w:fill="auto"/>
            <w:noWrap/>
            <w:hideMark/>
          </w:tcPr>
          <w:p w14:paraId="207F48F4"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0%</w:t>
            </w:r>
          </w:p>
        </w:tc>
        <w:tc>
          <w:tcPr>
            <w:tcW w:w="4147" w:type="dxa"/>
            <w:shd w:val="clear" w:color="auto" w:fill="auto"/>
            <w:hideMark/>
          </w:tcPr>
          <w:p w14:paraId="4E1E73E9" w14:textId="77777777" w:rsidR="003C2367" w:rsidRPr="00AC2A21" w:rsidRDefault="003C2367" w:rsidP="00E10B7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SIN RESPUESTA</w:t>
            </w:r>
          </w:p>
        </w:tc>
      </w:tr>
      <w:tr w:rsidR="003C2367" w:rsidRPr="00AC2A21" w14:paraId="60D643D4" w14:textId="77777777" w:rsidTr="00BE28C7">
        <w:trPr>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2E869B0F" w14:textId="77777777" w:rsidR="003C2367" w:rsidRPr="00AC2A21" w:rsidRDefault="003C2367" w:rsidP="00E10B70">
            <w:pPr>
              <w:spacing w:before="0" w:after="0" w:line="240" w:lineRule="auto"/>
              <w:jc w:val="left"/>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ENEL</w:t>
            </w:r>
          </w:p>
        </w:tc>
        <w:tc>
          <w:tcPr>
            <w:tcW w:w="1572" w:type="dxa"/>
            <w:shd w:val="clear" w:color="auto" w:fill="auto"/>
            <w:noWrap/>
            <w:hideMark/>
          </w:tcPr>
          <w:p w14:paraId="7CF75D46"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2</w:t>
            </w:r>
          </w:p>
        </w:tc>
        <w:tc>
          <w:tcPr>
            <w:tcW w:w="1151" w:type="dxa"/>
            <w:shd w:val="clear" w:color="auto" w:fill="auto"/>
            <w:noWrap/>
            <w:hideMark/>
          </w:tcPr>
          <w:p w14:paraId="38C22F11"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40</w:t>
            </w:r>
          </w:p>
        </w:tc>
        <w:tc>
          <w:tcPr>
            <w:tcW w:w="926" w:type="dxa"/>
            <w:shd w:val="clear" w:color="auto" w:fill="auto"/>
            <w:noWrap/>
            <w:hideMark/>
          </w:tcPr>
          <w:p w14:paraId="0C947F50"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95%</w:t>
            </w:r>
          </w:p>
        </w:tc>
        <w:tc>
          <w:tcPr>
            <w:tcW w:w="4147" w:type="dxa"/>
            <w:shd w:val="clear" w:color="auto" w:fill="auto"/>
            <w:hideMark/>
          </w:tcPr>
          <w:p w14:paraId="37E4D543" w14:textId="77777777" w:rsidR="003C2367" w:rsidRPr="00AC2A21" w:rsidRDefault="003C2367" w:rsidP="00E10B7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PROCESO DE NORMALIZACIÓN</w:t>
            </w:r>
          </w:p>
        </w:tc>
      </w:tr>
      <w:tr w:rsidR="003C2367" w:rsidRPr="00AC2A21" w14:paraId="2A65A6F6" w14:textId="77777777" w:rsidTr="00BE28C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16F509B7" w14:textId="77777777" w:rsidR="003C2367" w:rsidRPr="00AC2A21" w:rsidRDefault="003C2367" w:rsidP="00E10B70">
            <w:pPr>
              <w:spacing w:before="0" w:after="0" w:line="240" w:lineRule="auto"/>
              <w:jc w:val="left"/>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ENGIE</w:t>
            </w:r>
          </w:p>
        </w:tc>
        <w:tc>
          <w:tcPr>
            <w:tcW w:w="1572" w:type="dxa"/>
            <w:shd w:val="clear" w:color="auto" w:fill="auto"/>
            <w:noWrap/>
            <w:hideMark/>
          </w:tcPr>
          <w:p w14:paraId="518261F5"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12</w:t>
            </w:r>
          </w:p>
        </w:tc>
        <w:tc>
          <w:tcPr>
            <w:tcW w:w="1151" w:type="dxa"/>
            <w:shd w:val="clear" w:color="auto" w:fill="auto"/>
            <w:noWrap/>
            <w:hideMark/>
          </w:tcPr>
          <w:p w14:paraId="11F4E1DA"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240</w:t>
            </w:r>
          </w:p>
        </w:tc>
        <w:tc>
          <w:tcPr>
            <w:tcW w:w="926" w:type="dxa"/>
            <w:shd w:val="clear" w:color="auto" w:fill="auto"/>
            <w:noWrap/>
            <w:hideMark/>
          </w:tcPr>
          <w:p w14:paraId="7A89269B"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95%</w:t>
            </w:r>
          </w:p>
        </w:tc>
        <w:tc>
          <w:tcPr>
            <w:tcW w:w="4147" w:type="dxa"/>
            <w:shd w:val="clear" w:color="auto" w:fill="auto"/>
            <w:hideMark/>
          </w:tcPr>
          <w:p w14:paraId="7A9B1445" w14:textId="77777777" w:rsidR="003C2367" w:rsidRPr="00AC2A21" w:rsidRDefault="003C2367" w:rsidP="00E10B7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PROCESO DE NORMALIZACIÓN</w:t>
            </w:r>
          </w:p>
        </w:tc>
      </w:tr>
      <w:tr w:rsidR="003C2367" w:rsidRPr="00AC2A21" w14:paraId="4DCB9CFC" w14:textId="77777777" w:rsidTr="00BE28C7">
        <w:trPr>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18C2E3A4" w14:textId="77777777" w:rsidR="003C2367" w:rsidRPr="00AC2A21" w:rsidRDefault="003C2367" w:rsidP="00E10B70">
            <w:pPr>
              <w:spacing w:before="0" w:after="0" w:line="240" w:lineRule="auto"/>
              <w:jc w:val="left"/>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EMEL</w:t>
            </w:r>
          </w:p>
        </w:tc>
        <w:tc>
          <w:tcPr>
            <w:tcW w:w="1572" w:type="dxa"/>
            <w:shd w:val="clear" w:color="auto" w:fill="auto"/>
            <w:noWrap/>
            <w:hideMark/>
          </w:tcPr>
          <w:p w14:paraId="07A3CDDE"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5</w:t>
            </w:r>
          </w:p>
        </w:tc>
        <w:tc>
          <w:tcPr>
            <w:tcW w:w="1151" w:type="dxa"/>
            <w:shd w:val="clear" w:color="auto" w:fill="auto"/>
            <w:noWrap/>
            <w:hideMark/>
          </w:tcPr>
          <w:p w14:paraId="321D7579"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75</w:t>
            </w:r>
          </w:p>
        </w:tc>
        <w:tc>
          <w:tcPr>
            <w:tcW w:w="926" w:type="dxa"/>
            <w:shd w:val="clear" w:color="auto" w:fill="auto"/>
            <w:noWrap/>
            <w:hideMark/>
          </w:tcPr>
          <w:p w14:paraId="2F3062CC"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93%</w:t>
            </w:r>
          </w:p>
        </w:tc>
        <w:tc>
          <w:tcPr>
            <w:tcW w:w="4147" w:type="dxa"/>
            <w:shd w:val="clear" w:color="auto" w:fill="auto"/>
            <w:hideMark/>
          </w:tcPr>
          <w:p w14:paraId="6E4AFCA8" w14:textId="77777777" w:rsidR="003C2367" w:rsidRPr="00AC2A21" w:rsidRDefault="003C2367" w:rsidP="00E10B7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PROCESO DE NORMALIZACIÓN</w:t>
            </w:r>
          </w:p>
        </w:tc>
      </w:tr>
      <w:tr w:rsidR="003C2367" w:rsidRPr="00AC2A21" w14:paraId="26A27627" w14:textId="77777777" w:rsidTr="00BE28C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17525561" w14:textId="77777777" w:rsidR="003C2367" w:rsidRPr="00AC2A21" w:rsidRDefault="003C2367" w:rsidP="00E10B70">
            <w:pPr>
              <w:spacing w:before="0" w:after="0" w:line="240" w:lineRule="auto"/>
              <w:jc w:val="left"/>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EMELCA</w:t>
            </w:r>
          </w:p>
        </w:tc>
        <w:tc>
          <w:tcPr>
            <w:tcW w:w="1572" w:type="dxa"/>
            <w:shd w:val="clear" w:color="auto" w:fill="auto"/>
            <w:noWrap/>
            <w:hideMark/>
          </w:tcPr>
          <w:p w14:paraId="4CA217F2"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1</w:t>
            </w:r>
          </w:p>
        </w:tc>
        <w:tc>
          <w:tcPr>
            <w:tcW w:w="1151" w:type="dxa"/>
            <w:shd w:val="clear" w:color="auto" w:fill="auto"/>
            <w:noWrap/>
            <w:hideMark/>
          </w:tcPr>
          <w:p w14:paraId="017D711D"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1</w:t>
            </w:r>
          </w:p>
        </w:tc>
        <w:tc>
          <w:tcPr>
            <w:tcW w:w="926" w:type="dxa"/>
            <w:shd w:val="clear" w:color="auto" w:fill="auto"/>
            <w:noWrap/>
            <w:hideMark/>
          </w:tcPr>
          <w:p w14:paraId="446922FA"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0%</w:t>
            </w:r>
          </w:p>
        </w:tc>
        <w:tc>
          <w:tcPr>
            <w:tcW w:w="4147" w:type="dxa"/>
            <w:shd w:val="clear" w:color="auto" w:fill="auto"/>
            <w:hideMark/>
          </w:tcPr>
          <w:p w14:paraId="106FA891" w14:textId="77777777" w:rsidR="003C2367" w:rsidRPr="00AC2A21" w:rsidRDefault="003C2367" w:rsidP="00E10B7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PROCESO DE NORMALIZACIÓN</w:t>
            </w:r>
          </w:p>
        </w:tc>
      </w:tr>
      <w:tr w:rsidR="003C2367" w:rsidRPr="00AC2A21" w14:paraId="67F3420D" w14:textId="77777777" w:rsidTr="00BE28C7">
        <w:trPr>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419B87D7" w14:textId="77777777" w:rsidR="003C2367" w:rsidRPr="00AC2A21" w:rsidRDefault="003C2367" w:rsidP="00E10B70">
            <w:pPr>
              <w:spacing w:before="0" w:after="0" w:line="240" w:lineRule="auto"/>
              <w:jc w:val="left"/>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ENAP</w:t>
            </w:r>
          </w:p>
        </w:tc>
        <w:tc>
          <w:tcPr>
            <w:tcW w:w="1572" w:type="dxa"/>
            <w:shd w:val="clear" w:color="auto" w:fill="auto"/>
            <w:noWrap/>
            <w:hideMark/>
          </w:tcPr>
          <w:p w14:paraId="06B71C80"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3</w:t>
            </w:r>
          </w:p>
        </w:tc>
        <w:tc>
          <w:tcPr>
            <w:tcW w:w="1151" w:type="dxa"/>
            <w:shd w:val="clear" w:color="auto" w:fill="auto"/>
            <w:noWrap/>
            <w:hideMark/>
          </w:tcPr>
          <w:p w14:paraId="39CD025D"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6</w:t>
            </w:r>
          </w:p>
        </w:tc>
        <w:tc>
          <w:tcPr>
            <w:tcW w:w="926" w:type="dxa"/>
            <w:shd w:val="clear" w:color="auto" w:fill="auto"/>
            <w:noWrap/>
            <w:hideMark/>
          </w:tcPr>
          <w:p w14:paraId="08E0758B"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50%</w:t>
            </w:r>
          </w:p>
        </w:tc>
        <w:tc>
          <w:tcPr>
            <w:tcW w:w="4147" w:type="dxa"/>
            <w:shd w:val="clear" w:color="auto" w:fill="auto"/>
            <w:hideMark/>
          </w:tcPr>
          <w:p w14:paraId="2609FB1D" w14:textId="77777777" w:rsidR="003C2367" w:rsidRPr="00AC2A21" w:rsidRDefault="003C2367" w:rsidP="00E10B7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NO CONECTADO, CON RESPUESTA CRONOGRAMA</w:t>
            </w:r>
          </w:p>
        </w:tc>
      </w:tr>
      <w:tr w:rsidR="003C2367" w:rsidRPr="00AC2A21" w14:paraId="34001A56" w14:textId="77777777" w:rsidTr="00BE28C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7A39E79A" w14:textId="77777777" w:rsidR="003C2367" w:rsidRPr="00AC2A21" w:rsidRDefault="003C2367" w:rsidP="00E10B70">
            <w:pPr>
              <w:spacing w:before="0" w:after="0" w:line="240" w:lineRule="auto"/>
              <w:jc w:val="left"/>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FRONTEL</w:t>
            </w:r>
          </w:p>
        </w:tc>
        <w:tc>
          <w:tcPr>
            <w:tcW w:w="1572" w:type="dxa"/>
            <w:shd w:val="clear" w:color="auto" w:fill="auto"/>
            <w:noWrap/>
            <w:hideMark/>
          </w:tcPr>
          <w:p w14:paraId="1A76FAF4"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2</w:t>
            </w:r>
          </w:p>
        </w:tc>
        <w:tc>
          <w:tcPr>
            <w:tcW w:w="1151" w:type="dxa"/>
            <w:shd w:val="clear" w:color="auto" w:fill="auto"/>
            <w:noWrap/>
            <w:hideMark/>
          </w:tcPr>
          <w:p w14:paraId="61862DCB"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62</w:t>
            </w:r>
          </w:p>
        </w:tc>
        <w:tc>
          <w:tcPr>
            <w:tcW w:w="926" w:type="dxa"/>
            <w:shd w:val="clear" w:color="auto" w:fill="auto"/>
            <w:noWrap/>
            <w:hideMark/>
          </w:tcPr>
          <w:p w14:paraId="7397A5B3"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97%</w:t>
            </w:r>
          </w:p>
        </w:tc>
        <w:tc>
          <w:tcPr>
            <w:tcW w:w="4147" w:type="dxa"/>
            <w:shd w:val="clear" w:color="auto" w:fill="auto"/>
            <w:hideMark/>
          </w:tcPr>
          <w:p w14:paraId="1BBCC5E1" w14:textId="77777777" w:rsidR="003C2367" w:rsidRPr="00AC2A21" w:rsidRDefault="003C2367" w:rsidP="00E10B7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PROCESO DE NORMALIZACIÓN</w:t>
            </w:r>
          </w:p>
        </w:tc>
      </w:tr>
      <w:tr w:rsidR="003C2367" w:rsidRPr="00AC2A21" w14:paraId="1E591425" w14:textId="77777777" w:rsidTr="00BE28C7">
        <w:trPr>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02FF27AB" w14:textId="77777777" w:rsidR="003C2367" w:rsidRPr="00AC2A21" w:rsidRDefault="003C2367" w:rsidP="00E10B70">
            <w:pPr>
              <w:spacing w:before="0" w:after="0" w:line="240" w:lineRule="auto"/>
              <w:jc w:val="left"/>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ENEL DISTRIBUCION</w:t>
            </w:r>
          </w:p>
        </w:tc>
        <w:tc>
          <w:tcPr>
            <w:tcW w:w="1572" w:type="dxa"/>
            <w:shd w:val="clear" w:color="auto" w:fill="auto"/>
            <w:noWrap/>
            <w:hideMark/>
          </w:tcPr>
          <w:p w14:paraId="11A1771B"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2</w:t>
            </w:r>
          </w:p>
        </w:tc>
        <w:tc>
          <w:tcPr>
            <w:tcW w:w="1151" w:type="dxa"/>
            <w:shd w:val="clear" w:color="auto" w:fill="auto"/>
            <w:noWrap/>
            <w:hideMark/>
          </w:tcPr>
          <w:p w14:paraId="7A631230"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806</w:t>
            </w:r>
          </w:p>
        </w:tc>
        <w:tc>
          <w:tcPr>
            <w:tcW w:w="926" w:type="dxa"/>
            <w:shd w:val="clear" w:color="auto" w:fill="auto"/>
            <w:noWrap/>
            <w:hideMark/>
          </w:tcPr>
          <w:p w14:paraId="45BDA1F0"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100%</w:t>
            </w:r>
          </w:p>
        </w:tc>
        <w:tc>
          <w:tcPr>
            <w:tcW w:w="4147" w:type="dxa"/>
            <w:shd w:val="clear" w:color="auto" w:fill="auto"/>
            <w:hideMark/>
          </w:tcPr>
          <w:p w14:paraId="16FA609D" w14:textId="77777777" w:rsidR="003C2367" w:rsidRPr="00AC2A21" w:rsidRDefault="003C2367" w:rsidP="00E10B7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PROCESO DE NORMALIZACIÓN</w:t>
            </w:r>
          </w:p>
        </w:tc>
      </w:tr>
      <w:tr w:rsidR="003C2367" w:rsidRPr="00AC2A21" w14:paraId="544201A6" w14:textId="77777777" w:rsidTr="00BE28C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5A669041" w14:textId="77777777" w:rsidR="003C2367" w:rsidRPr="00AC2A21" w:rsidRDefault="003C2367" w:rsidP="00E10B70">
            <w:pPr>
              <w:spacing w:before="0" w:after="0" w:line="240" w:lineRule="auto"/>
              <w:jc w:val="left"/>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ENEL GENERACION</w:t>
            </w:r>
          </w:p>
        </w:tc>
        <w:tc>
          <w:tcPr>
            <w:tcW w:w="1572" w:type="dxa"/>
            <w:shd w:val="clear" w:color="auto" w:fill="auto"/>
            <w:noWrap/>
            <w:hideMark/>
          </w:tcPr>
          <w:p w14:paraId="2BB8EC06"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2</w:t>
            </w:r>
          </w:p>
        </w:tc>
        <w:tc>
          <w:tcPr>
            <w:tcW w:w="1151" w:type="dxa"/>
            <w:shd w:val="clear" w:color="auto" w:fill="auto"/>
            <w:noWrap/>
            <w:hideMark/>
          </w:tcPr>
          <w:p w14:paraId="704376EC"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122</w:t>
            </w:r>
          </w:p>
        </w:tc>
        <w:tc>
          <w:tcPr>
            <w:tcW w:w="926" w:type="dxa"/>
            <w:shd w:val="clear" w:color="auto" w:fill="auto"/>
            <w:noWrap/>
            <w:hideMark/>
          </w:tcPr>
          <w:p w14:paraId="67362648"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98%</w:t>
            </w:r>
          </w:p>
        </w:tc>
        <w:tc>
          <w:tcPr>
            <w:tcW w:w="4147" w:type="dxa"/>
            <w:shd w:val="clear" w:color="auto" w:fill="auto"/>
            <w:hideMark/>
          </w:tcPr>
          <w:p w14:paraId="23677D63" w14:textId="77777777" w:rsidR="003C2367" w:rsidRPr="00AC2A21" w:rsidRDefault="003C2367" w:rsidP="00E10B7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PROCESO DE NORMALIZACIÓN</w:t>
            </w:r>
          </w:p>
        </w:tc>
      </w:tr>
      <w:tr w:rsidR="003C2367" w:rsidRPr="00AC2A21" w14:paraId="53D9E111" w14:textId="77777777" w:rsidTr="00BE28C7">
        <w:trPr>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03463079" w14:textId="77777777" w:rsidR="003C2367" w:rsidRPr="00AC2A21" w:rsidRDefault="003C2367" w:rsidP="00E10B70">
            <w:pPr>
              <w:spacing w:before="0" w:after="0" w:line="240" w:lineRule="auto"/>
              <w:jc w:val="left"/>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ENERGIAS DEL FUTURO</w:t>
            </w:r>
          </w:p>
        </w:tc>
        <w:tc>
          <w:tcPr>
            <w:tcW w:w="1572" w:type="dxa"/>
            <w:shd w:val="clear" w:color="auto" w:fill="auto"/>
            <w:noWrap/>
            <w:hideMark/>
          </w:tcPr>
          <w:p w14:paraId="36BE4C67"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1</w:t>
            </w:r>
          </w:p>
        </w:tc>
        <w:tc>
          <w:tcPr>
            <w:tcW w:w="1151" w:type="dxa"/>
            <w:shd w:val="clear" w:color="auto" w:fill="auto"/>
            <w:noWrap/>
            <w:hideMark/>
          </w:tcPr>
          <w:p w14:paraId="3D85D8F9"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1</w:t>
            </w:r>
          </w:p>
        </w:tc>
        <w:tc>
          <w:tcPr>
            <w:tcW w:w="926" w:type="dxa"/>
            <w:shd w:val="clear" w:color="auto" w:fill="auto"/>
            <w:noWrap/>
            <w:hideMark/>
          </w:tcPr>
          <w:p w14:paraId="52E192DC"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0%</w:t>
            </w:r>
          </w:p>
        </w:tc>
        <w:tc>
          <w:tcPr>
            <w:tcW w:w="4147" w:type="dxa"/>
            <w:shd w:val="clear" w:color="auto" w:fill="auto"/>
            <w:hideMark/>
          </w:tcPr>
          <w:p w14:paraId="32CBE9EC" w14:textId="77777777" w:rsidR="003C2367" w:rsidRPr="00AC2A21" w:rsidRDefault="003C2367" w:rsidP="00E10B7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SIN RESPUESTA</w:t>
            </w:r>
          </w:p>
        </w:tc>
      </w:tr>
      <w:tr w:rsidR="003C2367" w:rsidRPr="00AC2A21" w14:paraId="748D0C04" w14:textId="77777777" w:rsidTr="00BE28C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689C3D50" w14:textId="77777777" w:rsidR="003C2367" w:rsidRPr="00AC2A21" w:rsidRDefault="003C2367" w:rsidP="00E10B70">
            <w:pPr>
              <w:spacing w:before="0" w:after="0" w:line="240" w:lineRule="auto"/>
              <w:jc w:val="left"/>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IMELSA</w:t>
            </w:r>
          </w:p>
        </w:tc>
        <w:tc>
          <w:tcPr>
            <w:tcW w:w="1572" w:type="dxa"/>
            <w:shd w:val="clear" w:color="auto" w:fill="auto"/>
            <w:noWrap/>
            <w:hideMark/>
          </w:tcPr>
          <w:p w14:paraId="4CE914BB"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2</w:t>
            </w:r>
          </w:p>
        </w:tc>
        <w:tc>
          <w:tcPr>
            <w:tcW w:w="1151" w:type="dxa"/>
            <w:shd w:val="clear" w:color="auto" w:fill="auto"/>
            <w:noWrap/>
            <w:hideMark/>
          </w:tcPr>
          <w:p w14:paraId="24CD2EA4"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5</w:t>
            </w:r>
          </w:p>
        </w:tc>
        <w:tc>
          <w:tcPr>
            <w:tcW w:w="926" w:type="dxa"/>
            <w:shd w:val="clear" w:color="auto" w:fill="auto"/>
            <w:noWrap/>
            <w:hideMark/>
          </w:tcPr>
          <w:p w14:paraId="6E8301D9"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60%</w:t>
            </w:r>
          </w:p>
        </w:tc>
        <w:tc>
          <w:tcPr>
            <w:tcW w:w="4147" w:type="dxa"/>
            <w:shd w:val="clear" w:color="auto" w:fill="auto"/>
            <w:hideMark/>
          </w:tcPr>
          <w:p w14:paraId="32EACB7B" w14:textId="77777777" w:rsidR="003C2367" w:rsidRPr="00AC2A21" w:rsidRDefault="003C2367" w:rsidP="00E10B7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PROCESO DE NORMALIZACIÓN</w:t>
            </w:r>
          </w:p>
        </w:tc>
      </w:tr>
      <w:tr w:rsidR="003C2367" w:rsidRPr="00AC2A21" w14:paraId="3A725C56" w14:textId="77777777" w:rsidTr="00BE28C7">
        <w:trPr>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6212E997" w14:textId="77777777" w:rsidR="003C2367" w:rsidRPr="00AC2A21" w:rsidRDefault="003C2367" w:rsidP="00E10B70">
            <w:pPr>
              <w:spacing w:before="0" w:after="0" w:line="240" w:lineRule="auto"/>
              <w:jc w:val="left"/>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LUZ OSORNO</w:t>
            </w:r>
          </w:p>
        </w:tc>
        <w:tc>
          <w:tcPr>
            <w:tcW w:w="1572" w:type="dxa"/>
            <w:shd w:val="clear" w:color="auto" w:fill="auto"/>
            <w:noWrap/>
            <w:hideMark/>
          </w:tcPr>
          <w:p w14:paraId="0A9834AE"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1</w:t>
            </w:r>
          </w:p>
        </w:tc>
        <w:tc>
          <w:tcPr>
            <w:tcW w:w="1151" w:type="dxa"/>
            <w:shd w:val="clear" w:color="auto" w:fill="auto"/>
            <w:noWrap/>
            <w:hideMark/>
          </w:tcPr>
          <w:p w14:paraId="0C299D21"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23</w:t>
            </w:r>
          </w:p>
        </w:tc>
        <w:tc>
          <w:tcPr>
            <w:tcW w:w="926" w:type="dxa"/>
            <w:shd w:val="clear" w:color="auto" w:fill="auto"/>
            <w:noWrap/>
            <w:hideMark/>
          </w:tcPr>
          <w:p w14:paraId="337DAB05"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96%</w:t>
            </w:r>
          </w:p>
        </w:tc>
        <w:tc>
          <w:tcPr>
            <w:tcW w:w="4147" w:type="dxa"/>
            <w:shd w:val="clear" w:color="auto" w:fill="auto"/>
            <w:hideMark/>
          </w:tcPr>
          <w:p w14:paraId="7716A2D9" w14:textId="77777777" w:rsidR="003C2367" w:rsidRPr="00AC2A21" w:rsidRDefault="003C2367" w:rsidP="00E10B7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PROCESO DE NORMALIZACIÓN</w:t>
            </w:r>
          </w:p>
        </w:tc>
      </w:tr>
      <w:tr w:rsidR="003C2367" w:rsidRPr="00AC2A21" w14:paraId="535DDD78" w14:textId="77777777" w:rsidTr="00BE28C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504D32AC" w14:textId="77777777" w:rsidR="003C2367" w:rsidRPr="00AC2A21" w:rsidRDefault="003C2367" w:rsidP="00E10B70">
            <w:pPr>
              <w:spacing w:before="0" w:after="0" w:line="240" w:lineRule="auto"/>
              <w:jc w:val="left"/>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ERNC I</w:t>
            </w:r>
          </w:p>
        </w:tc>
        <w:tc>
          <w:tcPr>
            <w:tcW w:w="1572" w:type="dxa"/>
            <w:shd w:val="clear" w:color="auto" w:fill="auto"/>
            <w:noWrap/>
            <w:hideMark/>
          </w:tcPr>
          <w:p w14:paraId="3C9DCBBF"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1</w:t>
            </w:r>
          </w:p>
        </w:tc>
        <w:tc>
          <w:tcPr>
            <w:tcW w:w="1151" w:type="dxa"/>
            <w:shd w:val="clear" w:color="auto" w:fill="auto"/>
            <w:noWrap/>
            <w:hideMark/>
          </w:tcPr>
          <w:p w14:paraId="0C9E415F"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2</w:t>
            </w:r>
          </w:p>
        </w:tc>
        <w:tc>
          <w:tcPr>
            <w:tcW w:w="926" w:type="dxa"/>
            <w:shd w:val="clear" w:color="auto" w:fill="auto"/>
            <w:noWrap/>
            <w:hideMark/>
          </w:tcPr>
          <w:p w14:paraId="2E3E8AF7"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50%</w:t>
            </w:r>
          </w:p>
        </w:tc>
        <w:tc>
          <w:tcPr>
            <w:tcW w:w="4147" w:type="dxa"/>
            <w:shd w:val="clear" w:color="auto" w:fill="auto"/>
            <w:hideMark/>
          </w:tcPr>
          <w:p w14:paraId="3065FB13" w14:textId="77777777" w:rsidR="003C2367" w:rsidRPr="00AC2A21" w:rsidRDefault="003C2367" w:rsidP="00E10B7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SIN RESPUESTA</w:t>
            </w:r>
          </w:p>
        </w:tc>
      </w:tr>
      <w:tr w:rsidR="003C2367" w:rsidRPr="00AC2A21" w14:paraId="5F7FAAFF" w14:textId="77777777" w:rsidTr="00BE28C7">
        <w:trPr>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53062F11" w14:textId="77777777" w:rsidR="003C2367" w:rsidRPr="00AC2A21" w:rsidRDefault="003C2367" w:rsidP="00E10B70">
            <w:pPr>
              <w:spacing w:before="0" w:after="0" w:line="240" w:lineRule="auto"/>
              <w:jc w:val="left"/>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MASISA</w:t>
            </w:r>
          </w:p>
        </w:tc>
        <w:tc>
          <w:tcPr>
            <w:tcW w:w="1572" w:type="dxa"/>
            <w:shd w:val="clear" w:color="auto" w:fill="auto"/>
            <w:noWrap/>
            <w:hideMark/>
          </w:tcPr>
          <w:p w14:paraId="2F487D49"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1</w:t>
            </w:r>
          </w:p>
        </w:tc>
        <w:tc>
          <w:tcPr>
            <w:tcW w:w="1151" w:type="dxa"/>
            <w:shd w:val="clear" w:color="auto" w:fill="auto"/>
            <w:noWrap/>
            <w:hideMark/>
          </w:tcPr>
          <w:p w14:paraId="0AFB38C2"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2</w:t>
            </w:r>
          </w:p>
        </w:tc>
        <w:tc>
          <w:tcPr>
            <w:tcW w:w="926" w:type="dxa"/>
            <w:shd w:val="clear" w:color="auto" w:fill="auto"/>
            <w:noWrap/>
            <w:hideMark/>
          </w:tcPr>
          <w:p w14:paraId="62BD18C8"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50%</w:t>
            </w:r>
          </w:p>
        </w:tc>
        <w:tc>
          <w:tcPr>
            <w:tcW w:w="4147" w:type="dxa"/>
            <w:shd w:val="clear" w:color="auto" w:fill="auto"/>
            <w:hideMark/>
          </w:tcPr>
          <w:p w14:paraId="0B6C943D" w14:textId="77777777" w:rsidR="003C2367" w:rsidRPr="00AC2A21" w:rsidRDefault="003C2367" w:rsidP="00E10B7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PROCESO DE NORMALIZACIÓN</w:t>
            </w:r>
          </w:p>
        </w:tc>
      </w:tr>
      <w:tr w:rsidR="003C2367" w:rsidRPr="00AC2A21" w14:paraId="7D0A8AD3" w14:textId="77777777" w:rsidTr="00BE28C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3FCFD360" w14:textId="77777777" w:rsidR="003C2367" w:rsidRPr="00AC2A21" w:rsidRDefault="003C2367" w:rsidP="00E10B70">
            <w:pPr>
              <w:spacing w:before="0" w:after="0" w:line="240" w:lineRule="auto"/>
              <w:jc w:val="left"/>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HIDROELECTRICA TRUENO</w:t>
            </w:r>
          </w:p>
        </w:tc>
        <w:tc>
          <w:tcPr>
            <w:tcW w:w="1572" w:type="dxa"/>
            <w:shd w:val="clear" w:color="auto" w:fill="auto"/>
            <w:noWrap/>
            <w:hideMark/>
          </w:tcPr>
          <w:p w14:paraId="22ECE271"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1</w:t>
            </w:r>
          </w:p>
        </w:tc>
        <w:tc>
          <w:tcPr>
            <w:tcW w:w="1151" w:type="dxa"/>
            <w:shd w:val="clear" w:color="auto" w:fill="auto"/>
            <w:noWrap/>
            <w:hideMark/>
          </w:tcPr>
          <w:p w14:paraId="74B7D759"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1</w:t>
            </w:r>
          </w:p>
        </w:tc>
        <w:tc>
          <w:tcPr>
            <w:tcW w:w="926" w:type="dxa"/>
            <w:shd w:val="clear" w:color="auto" w:fill="auto"/>
            <w:noWrap/>
            <w:hideMark/>
          </w:tcPr>
          <w:p w14:paraId="4BCD6A6A"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0%</w:t>
            </w:r>
          </w:p>
        </w:tc>
        <w:tc>
          <w:tcPr>
            <w:tcW w:w="4147" w:type="dxa"/>
            <w:shd w:val="clear" w:color="auto" w:fill="auto"/>
            <w:hideMark/>
          </w:tcPr>
          <w:p w14:paraId="227852BB" w14:textId="77777777" w:rsidR="003C2367" w:rsidRPr="00AC2A21" w:rsidRDefault="003C2367" w:rsidP="00E10B7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NO CONECTADO, CON RESPUESTA CRONOGRAMA</w:t>
            </w:r>
          </w:p>
        </w:tc>
      </w:tr>
      <w:tr w:rsidR="003C2367" w:rsidRPr="00AC2A21" w14:paraId="7DD3628B" w14:textId="77777777" w:rsidTr="00BE28C7">
        <w:trPr>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187CB804" w14:textId="77777777" w:rsidR="003C2367" w:rsidRPr="00AC2A21" w:rsidRDefault="003C2367" w:rsidP="00E10B70">
            <w:pPr>
              <w:spacing w:before="0" w:after="0" w:line="240" w:lineRule="auto"/>
              <w:jc w:val="left"/>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SGA</w:t>
            </w:r>
          </w:p>
        </w:tc>
        <w:tc>
          <w:tcPr>
            <w:tcW w:w="1572" w:type="dxa"/>
            <w:shd w:val="clear" w:color="auto" w:fill="auto"/>
            <w:noWrap/>
            <w:hideMark/>
          </w:tcPr>
          <w:p w14:paraId="03AC3292"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3</w:t>
            </w:r>
          </w:p>
        </w:tc>
        <w:tc>
          <w:tcPr>
            <w:tcW w:w="1151" w:type="dxa"/>
            <w:shd w:val="clear" w:color="auto" w:fill="auto"/>
            <w:noWrap/>
            <w:hideMark/>
          </w:tcPr>
          <w:p w14:paraId="001CB89A"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22</w:t>
            </w:r>
          </w:p>
        </w:tc>
        <w:tc>
          <w:tcPr>
            <w:tcW w:w="926" w:type="dxa"/>
            <w:shd w:val="clear" w:color="auto" w:fill="auto"/>
            <w:noWrap/>
            <w:hideMark/>
          </w:tcPr>
          <w:p w14:paraId="68E289D7"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86%</w:t>
            </w:r>
          </w:p>
        </w:tc>
        <w:tc>
          <w:tcPr>
            <w:tcW w:w="4147" w:type="dxa"/>
            <w:shd w:val="clear" w:color="auto" w:fill="auto"/>
            <w:hideMark/>
          </w:tcPr>
          <w:p w14:paraId="55CEE927" w14:textId="77777777" w:rsidR="003C2367" w:rsidRPr="00AC2A21" w:rsidRDefault="003C2367" w:rsidP="00E10B7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PROCESO DE NORMALIZACIÓN</w:t>
            </w:r>
          </w:p>
        </w:tc>
      </w:tr>
      <w:tr w:rsidR="003C2367" w:rsidRPr="00AC2A21" w14:paraId="5F3A9328" w14:textId="77777777" w:rsidTr="00BE28C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3178657C" w14:textId="77777777" w:rsidR="003C2367" w:rsidRPr="00AC2A21" w:rsidRDefault="003C2367" w:rsidP="00E10B70">
            <w:pPr>
              <w:spacing w:before="0" w:after="0" w:line="240" w:lineRule="auto"/>
              <w:jc w:val="left"/>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SQM</w:t>
            </w:r>
          </w:p>
        </w:tc>
        <w:tc>
          <w:tcPr>
            <w:tcW w:w="1572" w:type="dxa"/>
            <w:shd w:val="clear" w:color="auto" w:fill="auto"/>
            <w:noWrap/>
            <w:hideMark/>
          </w:tcPr>
          <w:p w14:paraId="72DA0A9A"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2</w:t>
            </w:r>
          </w:p>
        </w:tc>
        <w:tc>
          <w:tcPr>
            <w:tcW w:w="1151" w:type="dxa"/>
            <w:shd w:val="clear" w:color="auto" w:fill="auto"/>
            <w:noWrap/>
            <w:hideMark/>
          </w:tcPr>
          <w:p w14:paraId="31D5BDDE"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3</w:t>
            </w:r>
          </w:p>
        </w:tc>
        <w:tc>
          <w:tcPr>
            <w:tcW w:w="926" w:type="dxa"/>
            <w:shd w:val="clear" w:color="auto" w:fill="auto"/>
            <w:noWrap/>
            <w:hideMark/>
          </w:tcPr>
          <w:p w14:paraId="6FE1B44E"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33%</w:t>
            </w:r>
          </w:p>
        </w:tc>
        <w:tc>
          <w:tcPr>
            <w:tcW w:w="4147" w:type="dxa"/>
            <w:shd w:val="clear" w:color="auto" w:fill="auto"/>
            <w:hideMark/>
          </w:tcPr>
          <w:p w14:paraId="40CEF931" w14:textId="77777777" w:rsidR="003C2367" w:rsidRPr="00AC2A21" w:rsidRDefault="003C2367" w:rsidP="00E10B7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PROCESO DE NORMALIZACIÓN</w:t>
            </w:r>
          </w:p>
        </w:tc>
      </w:tr>
      <w:tr w:rsidR="003C2367" w:rsidRPr="00AC2A21" w14:paraId="6213661A" w14:textId="77777777" w:rsidTr="00BE28C7">
        <w:trPr>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652C54DF" w14:textId="77777777" w:rsidR="003C2367" w:rsidRPr="00AC2A21" w:rsidRDefault="003C2367" w:rsidP="00E10B70">
            <w:pPr>
              <w:spacing w:before="0" w:after="0" w:line="240" w:lineRule="auto"/>
              <w:jc w:val="left"/>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MANTOS COPPER</w:t>
            </w:r>
          </w:p>
        </w:tc>
        <w:tc>
          <w:tcPr>
            <w:tcW w:w="1572" w:type="dxa"/>
            <w:shd w:val="clear" w:color="auto" w:fill="auto"/>
            <w:noWrap/>
            <w:hideMark/>
          </w:tcPr>
          <w:p w14:paraId="70C0EC10"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2</w:t>
            </w:r>
          </w:p>
        </w:tc>
        <w:tc>
          <w:tcPr>
            <w:tcW w:w="1151" w:type="dxa"/>
            <w:shd w:val="clear" w:color="auto" w:fill="auto"/>
            <w:noWrap/>
            <w:hideMark/>
          </w:tcPr>
          <w:p w14:paraId="342D2816"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3</w:t>
            </w:r>
          </w:p>
        </w:tc>
        <w:tc>
          <w:tcPr>
            <w:tcW w:w="926" w:type="dxa"/>
            <w:shd w:val="clear" w:color="auto" w:fill="auto"/>
            <w:noWrap/>
            <w:hideMark/>
          </w:tcPr>
          <w:p w14:paraId="43679AA6"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33%</w:t>
            </w:r>
          </w:p>
        </w:tc>
        <w:tc>
          <w:tcPr>
            <w:tcW w:w="4147" w:type="dxa"/>
            <w:shd w:val="clear" w:color="auto" w:fill="auto"/>
            <w:hideMark/>
          </w:tcPr>
          <w:p w14:paraId="78A4B728" w14:textId="77777777" w:rsidR="003C2367" w:rsidRPr="00AC2A21" w:rsidRDefault="003C2367" w:rsidP="00E10B7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PROCESO DE NORMALIZACIÓN</w:t>
            </w:r>
          </w:p>
        </w:tc>
      </w:tr>
      <w:tr w:rsidR="003C2367" w:rsidRPr="00AC2A21" w14:paraId="7278461E" w14:textId="77777777" w:rsidTr="00BE28C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1D40D4EE" w14:textId="77777777" w:rsidR="003C2367" w:rsidRPr="00AC2A21" w:rsidRDefault="003C2367" w:rsidP="00E10B70">
            <w:pPr>
              <w:spacing w:before="0" w:after="0" w:line="240" w:lineRule="auto"/>
              <w:jc w:val="left"/>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STS</w:t>
            </w:r>
          </w:p>
        </w:tc>
        <w:tc>
          <w:tcPr>
            <w:tcW w:w="1572" w:type="dxa"/>
            <w:shd w:val="clear" w:color="auto" w:fill="auto"/>
            <w:noWrap/>
            <w:hideMark/>
          </w:tcPr>
          <w:p w14:paraId="5B356E00"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5</w:t>
            </w:r>
          </w:p>
        </w:tc>
        <w:tc>
          <w:tcPr>
            <w:tcW w:w="1151" w:type="dxa"/>
            <w:shd w:val="clear" w:color="auto" w:fill="auto"/>
            <w:noWrap/>
            <w:hideMark/>
          </w:tcPr>
          <w:p w14:paraId="2BC9D10A"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282</w:t>
            </w:r>
          </w:p>
        </w:tc>
        <w:tc>
          <w:tcPr>
            <w:tcW w:w="926" w:type="dxa"/>
            <w:shd w:val="clear" w:color="auto" w:fill="auto"/>
            <w:noWrap/>
            <w:hideMark/>
          </w:tcPr>
          <w:p w14:paraId="78653AB4"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98%</w:t>
            </w:r>
          </w:p>
        </w:tc>
        <w:tc>
          <w:tcPr>
            <w:tcW w:w="4147" w:type="dxa"/>
            <w:shd w:val="clear" w:color="auto" w:fill="auto"/>
            <w:hideMark/>
          </w:tcPr>
          <w:p w14:paraId="5E8A15EE" w14:textId="77777777" w:rsidR="003C2367" w:rsidRPr="00AC2A21" w:rsidRDefault="003C2367" w:rsidP="00E10B7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PROCESO DE NORMALIZACIÓN</w:t>
            </w:r>
          </w:p>
        </w:tc>
      </w:tr>
      <w:tr w:rsidR="003C2367" w:rsidRPr="00AC2A21" w14:paraId="26EEB412" w14:textId="77777777" w:rsidTr="00BE28C7">
        <w:trPr>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0B26D401" w14:textId="77777777" w:rsidR="003C2367" w:rsidRPr="00AC2A21" w:rsidRDefault="003C2367" w:rsidP="00E10B70">
            <w:pPr>
              <w:spacing w:before="0" w:after="0" w:line="240" w:lineRule="auto"/>
              <w:jc w:val="left"/>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MINERA FRANKE</w:t>
            </w:r>
          </w:p>
        </w:tc>
        <w:tc>
          <w:tcPr>
            <w:tcW w:w="1572" w:type="dxa"/>
            <w:shd w:val="clear" w:color="auto" w:fill="auto"/>
            <w:noWrap/>
            <w:hideMark/>
          </w:tcPr>
          <w:p w14:paraId="6B9FDB70"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1</w:t>
            </w:r>
          </w:p>
        </w:tc>
        <w:tc>
          <w:tcPr>
            <w:tcW w:w="1151" w:type="dxa"/>
            <w:shd w:val="clear" w:color="auto" w:fill="auto"/>
            <w:noWrap/>
            <w:hideMark/>
          </w:tcPr>
          <w:p w14:paraId="6EB256EA"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1</w:t>
            </w:r>
          </w:p>
        </w:tc>
        <w:tc>
          <w:tcPr>
            <w:tcW w:w="926" w:type="dxa"/>
            <w:shd w:val="clear" w:color="auto" w:fill="auto"/>
            <w:noWrap/>
            <w:hideMark/>
          </w:tcPr>
          <w:p w14:paraId="4ABD3955"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0%</w:t>
            </w:r>
          </w:p>
        </w:tc>
        <w:tc>
          <w:tcPr>
            <w:tcW w:w="4147" w:type="dxa"/>
            <w:shd w:val="clear" w:color="auto" w:fill="auto"/>
            <w:hideMark/>
          </w:tcPr>
          <w:p w14:paraId="584D4220" w14:textId="77777777" w:rsidR="003C2367" w:rsidRPr="00AC2A21" w:rsidRDefault="003C2367" w:rsidP="00E10B7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SIN RESPUESTA</w:t>
            </w:r>
          </w:p>
        </w:tc>
      </w:tr>
      <w:tr w:rsidR="003C2367" w:rsidRPr="00AC2A21" w14:paraId="3ECEB558" w14:textId="77777777" w:rsidTr="00BE28C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2E7EE657" w14:textId="77777777" w:rsidR="003C2367" w:rsidRPr="00AC2A21" w:rsidRDefault="003C2367" w:rsidP="00E10B70">
            <w:pPr>
              <w:spacing w:before="0" w:after="0" w:line="240" w:lineRule="auto"/>
              <w:jc w:val="left"/>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MINERA SPENCE</w:t>
            </w:r>
          </w:p>
        </w:tc>
        <w:tc>
          <w:tcPr>
            <w:tcW w:w="1572" w:type="dxa"/>
            <w:shd w:val="clear" w:color="auto" w:fill="auto"/>
            <w:noWrap/>
            <w:hideMark/>
          </w:tcPr>
          <w:p w14:paraId="55575C3D"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1</w:t>
            </w:r>
          </w:p>
        </w:tc>
        <w:tc>
          <w:tcPr>
            <w:tcW w:w="1151" w:type="dxa"/>
            <w:shd w:val="clear" w:color="auto" w:fill="auto"/>
            <w:noWrap/>
            <w:hideMark/>
          </w:tcPr>
          <w:p w14:paraId="137A78B0"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6</w:t>
            </w:r>
          </w:p>
        </w:tc>
        <w:tc>
          <w:tcPr>
            <w:tcW w:w="926" w:type="dxa"/>
            <w:shd w:val="clear" w:color="auto" w:fill="auto"/>
            <w:noWrap/>
            <w:hideMark/>
          </w:tcPr>
          <w:p w14:paraId="5C74BA53"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83%</w:t>
            </w:r>
          </w:p>
        </w:tc>
        <w:tc>
          <w:tcPr>
            <w:tcW w:w="4147" w:type="dxa"/>
            <w:shd w:val="clear" w:color="auto" w:fill="auto"/>
            <w:hideMark/>
          </w:tcPr>
          <w:p w14:paraId="051CD973" w14:textId="77777777" w:rsidR="003C2367" w:rsidRPr="00AC2A21" w:rsidRDefault="003C2367" w:rsidP="00E10B7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PROCESO DE NORMALIZACIÓN</w:t>
            </w:r>
          </w:p>
        </w:tc>
      </w:tr>
      <w:tr w:rsidR="003C2367" w:rsidRPr="00AC2A21" w14:paraId="621CA3DB" w14:textId="77777777" w:rsidTr="00BE28C7">
        <w:trPr>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1B0FBD06" w14:textId="77777777" w:rsidR="003C2367" w:rsidRPr="00AC2A21" w:rsidRDefault="003C2367" w:rsidP="00E10B70">
            <w:pPr>
              <w:spacing w:before="0" w:after="0" w:line="240" w:lineRule="auto"/>
              <w:jc w:val="left"/>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NORVIND</w:t>
            </w:r>
          </w:p>
        </w:tc>
        <w:tc>
          <w:tcPr>
            <w:tcW w:w="1572" w:type="dxa"/>
            <w:shd w:val="clear" w:color="auto" w:fill="auto"/>
            <w:noWrap/>
            <w:hideMark/>
          </w:tcPr>
          <w:p w14:paraId="45D350AB"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1</w:t>
            </w:r>
          </w:p>
        </w:tc>
        <w:tc>
          <w:tcPr>
            <w:tcW w:w="1151" w:type="dxa"/>
            <w:shd w:val="clear" w:color="auto" w:fill="auto"/>
            <w:noWrap/>
            <w:hideMark/>
          </w:tcPr>
          <w:p w14:paraId="56CA8085"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3</w:t>
            </w:r>
          </w:p>
        </w:tc>
        <w:tc>
          <w:tcPr>
            <w:tcW w:w="926" w:type="dxa"/>
            <w:shd w:val="clear" w:color="auto" w:fill="auto"/>
            <w:noWrap/>
            <w:hideMark/>
          </w:tcPr>
          <w:p w14:paraId="31B14456"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67%</w:t>
            </w:r>
          </w:p>
        </w:tc>
        <w:tc>
          <w:tcPr>
            <w:tcW w:w="4147" w:type="dxa"/>
            <w:shd w:val="clear" w:color="auto" w:fill="auto"/>
            <w:hideMark/>
          </w:tcPr>
          <w:p w14:paraId="78975ECC" w14:textId="77777777" w:rsidR="003C2367" w:rsidRPr="00AC2A21" w:rsidRDefault="003C2367" w:rsidP="00E10B7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NO CONECTADO, CON RESPUESTA CRONOGRAMA</w:t>
            </w:r>
          </w:p>
        </w:tc>
      </w:tr>
      <w:tr w:rsidR="003C2367" w:rsidRPr="00AC2A21" w14:paraId="6E36442F" w14:textId="77777777" w:rsidTr="00BE28C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7FC6EA30" w14:textId="77777777" w:rsidR="003C2367" w:rsidRPr="00AC2A21" w:rsidRDefault="003C2367" w:rsidP="00E10B70">
            <w:pPr>
              <w:spacing w:before="0" w:after="0" w:line="240" w:lineRule="auto"/>
              <w:jc w:val="left"/>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TRANSELEC</w:t>
            </w:r>
          </w:p>
        </w:tc>
        <w:tc>
          <w:tcPr>
            <w:tcW w:w="1572" w:type="dxa"/>
            <w:shd w:val="clear" w:color="auto" w:fill="auto"/>
            <w:noWrap/>
            <w:hideMark/>
          </w:tcPr>
          <w:p w14:paraId="0D132748"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7</w:t>
            </w:r>
          </w:p>
        </w:tc>
        <w:tc>
          <w:tcPr>
            <w:tcW w:w="1151" w:type="dxa"/>
            <w:shd w:val="clear" w:color="auto" w:fill="auto"/>
            <w:noWrap/>
            <w:hideMark/>
          </w:tcPr>
          <w:p w14:paraId="32D6A1BD"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515</w:t>
            </w:r>
          </w:p>
        </w:tc>
        <w:tc>
          <w:tcPr>
            <w:tcW w:w="926" w:type="dxa"/>
            <w:shd w:val="clear" w:color="auto" w:fill="auto"/>
            <w:noWrap/>
            <w:hideMark/>
          </w:tcPr>
          <w:p w14:paraId="6F07AC6B"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99%</w:t>
            </w:r>
          </w:p>
        </w:tc>
        <w:tc>
          <w:tcPr>
            <w:tcW w:w="4147" w:type="dxa"/>
            <w:shd w:val="clear" w:color="auto" w:fill="auto"/>
            <w:hideMark/>
          </w:tcPr>
          <w:p w14:paraId="146E8022" w14:textId="77777777" w:rsidR="003C2367" w:rsidRPr="00AC2A21" w:rsidRDefault="003C2367" w:rsidP="00E10B7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PROCESO DE NORMALIZACIÓN</w:t>
            </w:r>
          </w:p>
        </w:tc>
      </w:tr>
      <w:tr w:rsidR="003C2367" w:rsidRPr="00AC2A21" w14:paraId="579C2031" w14:textId="77777777" w:rsidTr="00BE28C7">
        <w:trPr>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32E2A2E1" w14:textId="77777777" w:rsidR="003C2367" w:rsidRPr="00AC2A21" w:rsidRDefault="003C2367" w:rsidP="00E10B70">
            <w:pPr>
              <w:spacing w:before="0" w:after="0" w:line="240" w:lineRule="auto"/>
              <w:jc w:val="left"/>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RIO PUMA</w:t>
            </w:r>
          </w:p>
        </w:tc>
        <w:tc>
          <w:tcPr>
            <w:tcW w:w="1572" w:type="dxa"/>
            <w:shd w:val="clear" w:color="auto" w:fill="auto"/>
            <w:noWrap/>
            <w:hideMark/>
          </w:tcPr>
          <w:p w14:paraId="3B8F697B"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1</w:t>
            </w:r>
          </w:p>
        </w:tc>
        <w:tc>
          <w:tcPr>
            <w:tcW w:w="1151" w:type="dxa"/>
            <w:shd w:val="clear" w:color="auto" w:fill="auto"/>
            <w:noWrap/>
            <w:hideMark/>
          </w:tcPr>
          <w:p w14:paraId="07CE6210"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1</w:t>
            </w:r>
          </w:p>
        </w:tc>
        <w:tc>
          <w:tcPr>
            <w:tcW w:w="926" w:type="dxa"/>
            <w:shd w:val="clear" w:color="auto" w:fill="auto"/>
            <w:noWrap/>
            <w:hideMark/>
          </w:tcPr>
          <w:p w14:paraId="1394B324"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0%</w:t>
            </w:r>
          </w:p>
        </w:tc>
        <w:tc>
          <w:tcPr>
            <w:tcW w:w="4147" w:type="dxa"/>
            <w:shd w:val="clear" w:color="auto" w:fill="auto"/>
            <w:hideMark/>
          </w:tcPr>
          <w:p w14:paraId="4AA92FD0" w14:textId="77777777" w:rsidR="003C2367" w:rsidRPr="00AC2A21" w:rsidRDefault="003C2367" w:rsidP="00E10B7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SIN RESPUESTA</w:t>
            </w:r>
          </w:p>
        </w:tc>
      </w:tr>
      <w:tr w:rsidR="003C2367" w:rsidRPr="00AC2A21" w14:paraId="4FD62A5E" w14:textId="77777777" w:rsidTr="00BE28C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1B8BEBA4" w14:textId="77777777" w:rsidR="003C2367" w:rsidRPr="00AC2A21" w:rsidRDefault="003C2367" w:rsidP="00E10B70">
            <w:pPr>
              <w:spacing w:before="0" w:after="0" w:line="240" w:lineRule="auto"/>
              <w:jc w:val="left"/>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SDGX01</w:t>
            </w:r>
          </w:p>
        </w:tc>
        <w:tc>
          <w:tcPr>
            <w:tcW w:w="1572" w:type="dxa"/>
            <w:shd w:val="clear" w:color="auto" w:fill="auto"/>
            <w:noWrap/>
            <w:hideMark/>
          </w:tcPr>
          <w:p w14:paraId="61DBC55F"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1</w:t>
            </w:r>
          </w:p>
        </w:tc>
        <w:tc>
          <w:tcPr>
            <w:tcW w:w="1151" w:type="dxa"/>
            <w:shd w:val="clear" w:color="auto" w:fill="auto"/>
            <w:noWrap/>
            <w:hideMark/>
          </w:tcPr>
          <w:p w14:paraId="472FC2B3"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1</w:t>
            </w:r>
          </w:p>
        </w:tc>
        <w:tc>
          <w:tcPr>
            <w:tcW w:w="926" w:type="dxa"/>
            <w:shd w:val="clear" w:color="auto" w:fill="auto"/>
            <w:noWrap/>
            <w:hideMark/>
          </w:tcPr>
          <w:p w14:paraId="0E4D2A2B"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0%</w:t>
            </w:r>
          </w:p>
        </w:tc>
        <w:tc>
          <w:tcPr>
            <w:tcW w:w="4147" w:type="dxa"/>
            <w:shd w:val="clear" w:color="auto" w:fill="auto"/>
            <w:hideMark/>
          </w:tcPr>
          <w:p w14:paraId="41575EA1" w14:textId="77777777" w:rsidR="003C2367" w:rsidRPr="00AC2A21" w:rsidRDefault="003C2367" w:rsidP="00E10B7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NO CONECTADO, CON RESPUESTA CRONOGRAMA</w:t>
            </w:r>
          </w:p>
        </w:tc>
      </w:tr>
      <w:tr w:rsidR="003C2367" w:rsidRPr="00AC2A21" w14:paraId="1A83E506" w14:textId="77777777" w:rsidTr="00BE28C7">
        <w:trPr>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662436DB" w14:textId="77777777" w:rsidR="003C2367" w:rsidRPr="00AC2A21" w:rsidRDefault="003C2367" w:rsidP="00E10B70">
            <w:pPr>
              <w:spacing w:before="0" w:after="0" w:line="240" w:lineRule="auto"/>
              <w:jc w:val="left"/>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TAMM</w:t>
            </w:r>
          </w:p>
        </w:tc>
        <w:tc>
          <w:tcPr>
            <w:tcW w:w="1572" w:type="dxa"/>
            <w:shd w:val="clear" w:color="auto" w:fill="auto"/>
            <w:noWrap/>
            <w:hideMark/>
          </w:tcPr>
          <w:p w14:paraId="1659602E"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1</w:t>
            </w:r>
          </w:p>
        </w:tc>
        <w:tc>
          <w:tcPr>
            <w:tcW w:w="1151" w:type="dxa"/>
            <w:shd w:val="clear" w:color="auto" w:fill="auto"/>
            <w:noWrap/>
            <w:hideMark/>
          </w:tcPr>
          <w:p w14:paraId="7DCB7868"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1</w:t>
            </w:r>
          </w:p>
        </w:tc>
        <w:tc>
          <w:tcPr>
            <w:tcW w:w="926" w:type="dxa"/>
            <w:shd w:val="clear" w:color="auto" w:fill="auto"/>
            <w:noWrap/>
            <w:hideMark/>
          </w:tcPr>
          <w:p w14:paraId="01D73ABA" w14:textId="77777777" w:rsidR="003C2367" w:rsidRPr="00AC2A21"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0%</w:t>
            </w:r>
          </w:p>
        </w:tc>
        <w:tc>
          <w:tcPr>
            <w:tcW w:w="4147" w:type="dxa"/>
            <w:shd w:val="clear" w:color="auto" w:fill="auto"/>
            <w:hideMark/>
          </w:tcPr>
          <w:p w14:paraId="38F4984F" w14:textId="77777777" w:rsidR="003C2367" w:rsidRPr="00AC2A21" w:rsidRDefault="003C2367" w:rsidP="00E10B7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SIN RESPUESTA</w:t>
            </w:r>
          </w:p>
        </w:tc>
      </w:tr>
      <w:tr w:rsidR="003C2367" w:rsidRPr="00F53645" w14:paraId="7129D2BD" w14:textId="77777777" w:rsidTr="00BE28C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50F5C4E3" w14:textId="77777777" w:rsidR="003C2367" w:rsidRPr="00AC2A21" w:rsidRDefault="003C2367" w:rsidP="00E10B70">
            <w:pPr>
              <w:spacing w:before="0" w:after="0" w:line="240" w:lineRule="auto"/>
              <w:jc w:val="left"/>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TECK-CARMEN DE ANDACOLLO</w:t>
            </w:r>
          </w:p>
        </w:tc>
        <w:tc>
          <w:tcPr>
            <w:tcW w:w="1572" w:type="dxa"/>
            <w:shd w:val="clear" w:color="auto" w:fill="auto"/>
            <w:noWrap/>
            <w:hideMark/>
          </w:tcPr>
          <w:p w14:paraId="7F8F0AA8"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1</w:t>
            </w:r>
          </w:p>
        </w:tc>
        <w:tc>
          <w:tcPr>
            <w:tcW w:w="1151" w:type="dxa"/>
            <w:shd w:val="clear" w:color="auto" w:fill="auto"/>
            <w:noWrap/>
            <w:hideMark/>
          </w:tcPr>
          <w:p w14:paraId="2D98D933"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1</w:t>
            </w:r>
          </w:p>
        </w:tc>
        <w:tc>
          <w:tcPr>
            <w:tcW w:w="926" w:type="dxa"/>
            <w:shd w:val="clear" w:color="auto" w:fill="auto"/>
            <w:noWrap/>
            <w:hideMark/>
          </w:tcPr>
          <w:p w14:paraId="5BD15144" w14:textId="77777777" w:rsidR="003C2367" w:rsidRPr="00AC2A21"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0%</w:t>
            </w:r>
          </w:p>
        </w:tc>
        <w:tc>
          <w:tcPr>
            <w:tcW w:w="4147" w:type="dxa"/>
            <w:shd w:val="clear" w:color="auto" w:fill="auto"/>
            <w:hideMark/>
          </w:tcPr>
          <w:p w14:paraId="08279272" w14:textId="77777777" w:rsidR="003C2367" w:rsidRPr="00F53645" w:rsidRDefault="003C2367" w:rsidP="00E10B7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AC2A21">
              <w:rPr>
                <w:rFonts w:asciiTheme="minorHAnsi" w:hAnsiTheme="minorHAnsi" w:cstheme="minorHAnsi"/>
                <w:color w:val="000000"/>
                <w:sz w:val="18"/>
                <w:szCs w:val="18"/>
                <w:lang w:eastAsia="es-CL"/>
              </w:rPr>
              <w:t>SIN RESPUESTA</w:t>
            </w:r>
          </w:p>
        </w:tc>
      </w:tr>
      <w:tr w:rsidR="003C2367" w:rsidRPr="00F53645" w14:paraId="701F1A71" w14:textId="77777777" w:rsidTr="00BE28C7">
        <w:trPr>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6C8686C2" w14:textId="77777777" w:rsidR="003C2367" w:rsidRPr="00F53645" w:rsidRDefault="003C2367" w:rsidP="00E10B70">
            <w:pPr>
              <w:spacing w:before="0" w:after="0" w:line="240" w:lineRule="auto"/>
              <w:jc w:val="left"/>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MINERA ESCONDIDA</w:t>
            </w:r>
          </w:p>
        </w:tc>
        <w:tc>
          <w:tcPr>
            <w:tcW w:w="1572" w:type="dxa"/>
            <w:shd w:val="clear" w:color="auto" w:fill="auto"/>
            <w:noWrap/>
            <w:hideMark/>
          </w:tcPr>
          <w:p w14:paraId="7FECA21B"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72</w:t>
            </w:r>
          </w:p>
        </w:tc>
        <w:tc>
          <w:tcPr>
            <w:tcW w:w="1151" w:type="dxa"/>
            <w:shd w:val="clear" w:color="auto" w:fill="auto"/>
            <w:noWrap/>
            <w:hideMark/>
          </w:tcPr>
          <w:p w14:paraId="3413D9B9"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72</w:t>
            </w:r>
          </w:p>
        </w:tc>
        <w:tc>
          <w:tcPr>
            <w:tcW w:w="926" w:type="dxa"/>
            <w:shd w:val="clear" w:color="auto" w:fill="auto"/>
            <w:noWrap/>
            <w:hideMark/>
          </w:tcPr>
          <w:p w14:paraId="7894680B"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0%</w:t>
            </w:r>
          </w:p>
        </w:tc>
        <w:tc>
          <w:tcPr>
            <w:tcW w:w="4147" w:type="dxa"/>
            <w:shd w:val="clear" w:color="auto" w:fill="auto"/>
            <w:hideMark/>
          </w:tcPr>
          <w:p w14:paraId="70686607" w14:textId="77777777" w:rsidR="003C2367" w:rsidRPr="00F53645" w:rsidRDefault="003C2367" w:rsidP="00E10B7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PROCESO DE NORMALIZACIÓN</w:t>
            </w:r>
          </w:p>
        </w:tc>
      </w:tr>
      <w:tr w:rsidR="003C2367" w:rsidRPr="00F53645" w14:paraId="63D33EC2" w14:textId="77777777" w:rsidTr="00BE28C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744663A6" w14:textId="77777777" w:rsidR="003C2367" w:rsidRPr="00F53645" w:rsidRDefault="003C2367" w:rsidP="00E10B70">
            <w:pPr>
              <w:spacing w:before="0" w:after="0" w:line="240" w:lineRule="auto"/>
              <w:jc w:val="left"/>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RED ENOR 2 - MINERA CENTINELA</w:t>
            </w:r>
          </w:p>
        </w:tc>
        <w:tc>
          <w:tcPr>
            <w:tcW w:w="1572" w:type="dxa"/>
            <w:shd w:val="clear" w:color="auto" w:fill="auto"/>
            <w:noWrap/>
            <w:hideMark/>
          </w:tcPr>
          <w:p w14:paraId="4B69C839"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6</w:t>
            </w:r>
          </w:p>
        </w:tc>
        <w:tc>
          <w:tcPr>
            <w:tcW w:w="1151" w:type="dxa"/>
            <w:shd w:val="clear" w:color="auto" w:fill="auto"/>
            <w:noWrap/>
            <w:hideMark/>
          </w:tcPr>
          <w:p w14:paraId="3433025B"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18</w:t>
            </w:r>
          </w:p>
        </w:tc>
        <w:tc>
          <w:tcPr>
            <w:tcW w:w="926" w:type="dxa"/>
            <w:shd w:val="clear" w:color="auto" w:fill="auto"/>
            <w:noWrap/>
            <w:hideMark/>
          </w:tcPr>
          <w:p w14:paraId="23EE3A1F"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67%</w:t>
            </w:r>
          </w:p>
        </w:tc>
        <w:tc>
          <w:tcPr>
            <w:tcW w:w="4147" w:type="dxa"/>
            <w:shd w:val="clear" w:color="auto" w:fill="auto"/>
            <w:hideMark/>
          </w:tcPr>
          <w:p w14:paraId="053881AB" w14:textId="77777777" w:rsidR="003C2367" w:rsidRPr="00F53645" w:rsidRDefault="003C2367" w:rsidP="00E10B7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PROCESO DE NORMALIZACIÓN</w:t>
            </w:r>
          </w:p>
        </w:tc>
      </w:tr>
      <w:tr w:rsidR="003C2367" w:rsidRPr="00F53645" w14:paraId="0CBDF462" w14:textId="77777777" w:rsidTr="00BE28C7">
        <w:trPr>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3A1B76D0" w14:textId="77777777" w:rsidR="003C2367" w:rsidRPr="00F53645" w:rsidRDefault="003C2367" w:rsidP="00E10B70">
            <w:pPr>
              <w:spacing w:before="0" w:after="0" w:line="240" w:lineRule="auto"/>
              <w:jc w:val="left"/>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TAMAKAYA ENERGIA</w:t>
            </w:r>
          </w:p>
        </w:tc>
        <w:tc>
          <w:tcPr>
            <w:tcW w:w="1572" w:type="dxa"/>
            <w:shd w:val="clear" w:color="auto" w:fill="auto"/>
            <w:noWrap/>
            <w:hideMark/>
          </w:tcPr>
          <w:p w14:paraId="4AA9D756"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6</w:t>
            </w:r>
          </w:p>
        </w:tc>
        <w:tc>
          <w:tcPr>
            <w:tcW w:w="1151" w:type="dxa"/>
            <w:shd w:val="clear" w:color="auto" w:fill="auto"/>
            <w:noWrap/>
            <w:hideMark/>
          </w:tcPr>
          <w:p w14:paraId="70B6ECE9"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6</w:t>
            </w:r>
          </w:p>
        </w:tc>
        <w:tc>
          <w:tcPr>
            <w:tcW w:w="926" w:type="dxa"/>
            <w:shd w:val="clear" w:color="auto" w:fill="auto"/>
            <w:noWrap/>
            <w:hideMark/>
          </w:tcPr>
          <w:p w14:paraId="34AB8B59"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0%</w:t>
            </w:r>
          </w:p>
        </w:tc>
        <w:tc>
          <w:tcPr>
            <w:tcW w:w="4147" w:type="dxa"/>
            <w:shd w:val="clear" w:color="auto" w:fill="auto"/>
            <w:hideMark/>
          </w:tcPr>
          <w:p w14:paraId="340DB3F8" w14:textId="77777777" w:rsidR="003C2367" w:rsidRPr="00F53645" w:rsidRDefault="003C2367" w:rsidP="00E10B7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SIN RESPUESTA</w:t>
            </w:r>
          </w:p>
        </w:tc>
      </w:tr>
      <w:tr w:rsidR="003C2367" w:rsidRPr="00F53645" w14:paraId="3E095B2B" w14:textId="77777777" w:rsidTr="00BE28C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6E550B6C" w14:textId="77777777" w:rsidR="003C2367" w:rsidRPr="00F53645" w:rsidRDefault="003C2367" w:rsidP="00E10B70">
            <w:pPr>
              <w:spacing w:before="0" w:after="0" w:line="240" w:lineRule="auto"/>
              <w:jc w:val="left"/>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GUACOLDA</w:t>
            </w:r>
          </w:p>
        </w:tc>
        <w:tc>
          <w:tcPr>
            <w:tcW w:w="1572" w:type="dxa"/>
            <w:shd w:val="clear" w:color="auto" w:fill="auto"/>
            <w:noWrap/>
            <w:hideMark/>
          </w:tcPr>
          <w:p w14:paraId="4FA41470"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5</w:t>
            </w:r>
          </w:p>
        </w:tc>
        <w:tc>
          <w:tcPr>
            <w:tcW w:w="1151" w:type="dxa"/>
            <w:shd w:val="clear" w:color="auto" w:fill="auto"/>
            <w:noWrap/>
            <w:hideMark/>
          </w:tcPr>
          <w:p w14:paraId="64B0DD3C"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18</w:t>
            </w:r>
          </w:p>
        </w:tc>
        <w:tc>
          <w:tcPr>
            <w:tcW w:w="926" w:type="dxa"/>
            <w:shd w:val="clear" w:color="auto" w:fill="auto"/>
            <w:noWrap/>
            <w:hideMark/>
          </w:tcPr>
          <w:p w14:paraId="70242AC0"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72%</w:t>
            </w:r>
          </w:p>
        </w:tc>
        <w:tc>
          <w:tcPr>
            <w:tcW w:w="4147" w:type="dxa"/>
            <w:shd w:val="clear" w:color="auto" w:fill="auto"/>
            <w:hideMark/>
          </w:tcPr>
          <w:p w14:paraId="3688ED6E" w14:textId="77777777" w:rsidR="003C2367" w:rsidRPr="00F53645" w:rsidRDefault="003C2367" w:rsidP="00E10B7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PROCESO DE NORMALIZACIÓN</w:t>
            </w:r>
          </w:p>
        </w:tc>
      </w:tr>
      <w:tr w:rsidR="003C2367" w:rsidRPr="00F53645" w14:paraId="5A0CA1AB" w14:textId="77777777" w:rsidTr="00BE28C7">
        <w:trPr>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07FB6208" w14:textId="77777777" w:rsidR="003C2367" w:rsidRPr="00F53645" w:rsidRDefault="003C2367" w:rsidP="00E10B70">
            <w:pPr>
              <w:spacing w:before="0" w:after="0" w:line="240" w:lineRule="auto"/>
              <w:jc w:val="left"/>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MINERA COLLAHUASI</w:t>
            </w:r>
          </w:p>
        </w:tc>
        <w:tc>
          <w:tcPr>
            <w:tcW w:w="1572" w:type="dxa"/>
            <w:shd w:val="clear" w:color="auto" w:fill="auto"/>
            <w:noWrap/>
            <w:hideMark/>
          </w:tcPr>
          <w:p w14:paraId="51EC857A"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4</w:t>
            </w:r>
          </w:p>
        </w:tc>
        <w:tc>
          <w:tcPr>
            <w:tcW w:w="1151" w:type="dxa"/>
            <w:shd w:val="clear" w:color="auto" w:fill="auto"/>
            <w:noWrap/>
            <w:hideMark/>
          </w:tcPr>
          <w:p w14:paraId="79C9787A"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16</w:t>
            </w:r>
          </w:p>
        </w:tc>
        <w:tc>
          <w:tcPr>
            <w:tcW w:w="926" w:type="dxa"/>
            <w:shd w:val="clear" w:color="auto" w:fill="auto"/>
            <w:noWrap/>
            <w:hideMark/>
          </w:tcPr>
          <w:p w14:paraId="411FD462"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75%</w:t>
            </w:r>
          </w:p>
        </w:tc>
        <w:tc>
          <w:tcPr>
            <w:tcW w:w="4147" w:type="dxa"/>
            <w:shd w:val="clear" w:color="auto" w:fill="auto"/>
            <w:hideMark/>
          </w:tcPr>
          <w:p w14:paraId="7D239B60" w14:textId="77777777" w:rsidR="003C2367" w:rsidRPr="00F53645" w:rsidRDefault="003C2367" w:rsidP="00E10B7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PROCESO DE NORMALIZACIÓN</w:t>
            </w:r>
          </w:p>
        </w:tc>
      </w:tr>
      <w:tr w:rsidR="003C2367" w:rsidRPr="00F53645" w14:paraId="71644A5F" w14:textId="77777777" w:rsidTr="00BE28C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31A2F743" w14:textId="77777777" w:rsidR="003C2367" w:rsidRPr="00F53645" w:rsidRDefault="003C2367" w:rsidP="00E10B70">
            <w:pPr>
              <w:spacing w:before="0" w:after="0" w:line="240" w:lineRule="auto"/>
              <w:jc w:val="left"/>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GENERADORA METROPOLITANA</w:t>
            </w:r>
          </w:p>
        </w:tc>
        <w:tc>
          <w:tcPr>
            <w:tcW w:w="1572" w:type="dxa"/>
            <w:shd w:val="clear" w:color="auto" w:fill="auto"/>
            <w:noWrap/>
            <w:hideMark/>
          </w:tcPr>
          <w:p w14:paraId="53F48C85"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3</w:t>
            </w:r>
          </w:p>
        </w:tc>
        <w:tc>
          <w:tcPr>
            <w:tcW w:w="1151" w:type="dxa"/>
            <w:shd w:val="clear" w:color="auto" w:fill="auto"/>
            <w:noWrap/>
            <w:hideMark/>
          </w:tcPr>
          <w:p w14:paraId="67BFB995"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14</w:t>
            </w:r>
          </w:p>
        </w:tc>
        <w:tc>
          <w:tcPr>
            <w:tcW w:w="926" w:type="dxa"/>
            <w:shd w:val="clear" w:color="auto" w:fill="auto"/>
            <w:noWrap/>
            <w:hideMark/>
          </w:tcPr>
          <w:p w14:paraId="413F7F37"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79%</w:t>
            </w:r>
          </w:p>
        </w:tc>
        <w:tc>
          <w:tcPr>
            <w:tcW w:w="4147" w:type="dxa"/>
            <w:shd w:val="clear" w:color="auto" w:fill="auto"/>
            <w:hideMark/>
          </w:tcPr>
          <w:p w14:paraId="3C004503" w14:textId="77777777" w:rsidR="003C2367" w:rsidRPr="00F53645" w:rsidRDefault="003C2367" w:rsidP="00E10B7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PROCESO DE NORMALIZACIÓN</w:t>
            </w:r>
          </w:p>
        </w:tc>
      </w:tr>
      <w:tr w:rsidR="003C2367" w:rsidRPr="00F53645" w14:paraId="4A10838B" w14:textId="77777777" w:rsidTr="00BE28C7">
        <w:trPr>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2F8606E3" w14:textId="77777777" w:rsidR="003C2367" w:rsidRPr="00F53645" w:rsidRDefault="003C2367" w:rsidP="00E10B70">
            <w:pPr>
              <w:spacing w:before="0" w:after="0" w:line="240" w:lineRule="auto"/>
              <w:jc w:val="left"/>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QUILLAGUA</w:t>
            </w:r>
          </w:p>
        </w:tc>
        <w:tc>
          <w:tcPr>
            <w:tcW w:w="1572" w:type="dxa"/>
            <w:shd w:val="clear" w:color="auto" w:fill="auto"/>
            <w:noWrap/>
            <w:hideMark/>
          </w:tcPr>
          <w:p w14:paraId="43C30D5A"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2</w:t>
            </w:r>
          </w:p>
        </w:tc>
        <w:tc>
          <w:tcPr>
            <w:tcW w:w="1151" w:type="dxa"/>
            <w:shd w:val="clear" w:color="auto" w:fill="auto"/>
            <w:noWrap/>
            <w:hideMark/>
          </w:tcPr>
          <w:p w14:paraId="2CE41C33"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2</w:t>
            </w:r>
          </w:p>
        </w:tc>
        <w:tc>
          <w:tcPr>
            <w:tcW w:w="926" w:type="dxa"/>
            <w:shd w:val="clear" w:color="auto" w:fill="auto"/>
            <w:noWrap/>
            <w:hideMark/>
          </w:tcPr>
          <w:p w14:paraId="461A9696"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0%</w:t>
            </w:r>
          </w:p>
        </w:tc>
        <w:tc>
          <w:tcPr>
            <w:tcW w:w="4147" w:type="dxa"/>
            <w:shd w:val="clear" w:color="auto" w:fill="auto"/>
            <w:hideMark/>
          </w:tcPr>
          <w:p w14:paraId="050FCBF7" w14:textId="77777777" w:rsidR="003C2367" w:rsidRPr="00F53645" w:rsidRDefault="003C2367" w:rsidP="00E10B7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SIN RESPUESTA</w:t>
            </w:r>
          </w:p>
        </w:tc>
      </w:tr>
      <w:tr w:rsidR="003C2367" w:rsidRPr="00F53645" w14:paraId="04BC8F1F" w14:textId="77777777" w:rsidTr="00BE28C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769349E7" w14:textId="77777777" w:rsidR="003C2367" w:rsidRPr="00F53645" w:rsidRDefault="003C2367" w:rsidP="00E10B70">
            <w:pPr>
              <w:spacing w:before="0" w:after="0" w:line="240" w:lineRule="auto"/>
              <w:jc w:val="left"/>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MINERA ANTUCOYA</w:t>
            </w:r>
          </w:p>
        </w:tc>
        <w:tc>
          <w:tcPr>
            <w:tcW w:w="1572" w:type="dxa"/>
            <w:shd w:val="clear" w:color="auto" w:fill="auto"/>
            <w:noWrap/>
            <w:hideMark/>
          </w:tcPr>
          <w:p w14:paraId="0B871E07"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2</w:t>
            </w:r>
          </w:p>
        </w:tc>
        <w:tc>
          <w:tcPr>
            <w:tcW w:w="1151" w:type="dxa"/>
            <w:shd w:val="clear" w:color="auto" w:fill="auto"/>
            <w:noWrap/>
            <w:hideMark/>
          </w:tcPr>
          <w:p w14:paraId="5997B6CD"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3</w:t>
            </w:r>
          </w:p>
        </w:tc>
        <w:tc>
          <w:tcPr>
            <w:tcW w:w="926" w:type="dxa"/>
            <w:shd w:val="clear" w:color="auto" w:fill="auto"/>
            <w:noWrap/>
            <w:hideMark/>
          </w:tcPr>
          <w:p w14:paraId="2C4CC285"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33%</w:t>
            </w:r>
          </w:p>
        </w:tc>
        <w:tc>
          <w:tcPr>
            <w:tcW w:w="4147" w:type="dxa"/>
            <w:shd w:val="clear" w:color="auto" w:fill="auto"/>
            <w:hideMark/>
          </w:tcPr>
          <w:p w14:paraId="17CF3F50" w14:textId="77777777" w:rsidR="003C2367" w:rsidRPr="00F53645" w:rsidRDefault="003C2367" w:rsidP="00E10B7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PROCESO DE NORMALIZACIÓN</w:t>
            </w:r>
          </w:p>
        </w:tc>
      </w:tr>
      <w:tr w:rsidR="003C2367" w:rsidRPr="00F53645" w14:paraId="1B0747B0" w14:textId="77777777" w:rsidTr="00BE28C7">
        <w:trPr>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50CB4E6F" w14:textId="77777777" w:rsidR="003C2367" w:rsidRPr="00F53645" w:rsidRDefault="003C2367" w:rsidP="00E10B70">
            <w:pPr>
              <w:spacing w:before="0" w:after="0" w:line="240" w:lineRule="auto"/>
              <w:jc w:val="left"/>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EMELDA</w:t>
            </w:r>
          </w:p>
        </w:tc>
        <w:tc>
          <w:tcPr>
            <w:tcW w:w="1572" w:type="dxa"/>
            <w:shd w:val="clear" w:color="auto" w:fill="auto"/>
            <w:noWrap/>
            <w:hideMark/>
          </w:tcPr>
          <w:p w14:paraId="228CDEAE"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2</w:t>
            </w:r>
          </w:p>
        </w:tc>
        <w:tc>
          <w:tcPr>
            <w:tcW w:w="1151" w:type="dxa"/>
            <w:shd w:val="clear" w:color="auto" w:fill="auto"/>
            <w:noWrap/>
            <w:hideMark/>
          </w:tcPr>
          <w:p w14:paraId="11477156"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5</w:t>
            </w:r>
          </w:p>
        </w:tc>
        <w:tc>
          <w:tcPr>
            <w:tcW w:w="926" w:type="dxa"/>
            <w:shd w:val="clear" w:color="auto" w:fill="auto"/>
            <w:noWrap/>
            <w:hideMark/>
          </w:tcPr>
          <w:p w14:paraId="7CD3A596"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60%</w:t>
            </w:r>
          </w:p>
        </w:tc>
        <w:tc>
          <w:tcPr>
            <w:tcW w:w="4147" w:type="dxa"/>
            <w:shd w:val="clear" w:color="auto" w:fill="auto"/>
            <w:hideMark/>
          </w:tcPr>
          <w:p w14:paraId="5E847848" w14:textId="77777777" w:rsidR="003C2367" w:rsidRPr="00F53645" w:rsidRDefault="003C2367" w:rsidP="00E10B7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PROCESO DE NORMALIZACIÓN</w:t>
            </w:r>
          </w:p>
        </w:tc>
      </w:tr>
      <w:tr w:rsidR="003C2367" w:rsidRPr="00F53645" w14:paraId="787C7583" w14:textId="77777777" w:rsidTr="00BE28C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0155E323" w14:textId="77777777" w:rsidR="003C2367" w:rsidRPr="00F53645" w:rsidRDefault="003C2367" w:rsidP="00E10B70">
            <w:pPr>
              <w:spacing w:before="0" w:after="0" w:line="240" w:lineRule="auto"/>
              <w:jc w:val="left"/>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ELECTRICA COLINA</w:t>
            </w:r>
          </w:p>
        </w:tc>
        <w:tc>
          <w:tcPr>
            <w:tcW w:w="1572" w:type="dxa"/>
            <w:shd w:val="clear" w:color="auto" w:fill="auto"/>
            <w:noWrap/>
            <w:hideMark/>
          </w:tcPr>
          <w:p w14:paraId="56F77208"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2</w:t>
            </w:r>
          </w:p>
        </w:tc>
        <w:tc>
          <w:tcPr>
            <w:tcW w:w="1151" w:type="dxa"/>
            <w:shd w:val="clear" w:color="auto" w:fill="auto"/>
            <w:noWrap/>
            <w:hideMark/>
          </w:tcPr>
          <w:p w14:paraId="6DDE7F36"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6</w:t>
            </w:r>
          </w:p>
        </w:tc>
        <w:tc>
          <w:tcPr>
            <w:tcW w:w="926" w:type="dxa"/>
            <w:shd w:val="clear" w:color="auto" w:fill="auto"/>
            <w:noWrap/>
            <w:hideMark/>
          </w:tcPr>
          <w:p w14:paraId="0BC32BEA"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67%</w:t>
            </w:r>
          </w:p>
        </w:tc>
        <w:tc>
          <w:tcPr>
            <w:tcW w:w="4147" w:type="dxa"/>
            <w:shd w:val="clear" w:color="auto" w:fill="auto"/>
            <w:hideMark/>
          </w:tcPr>
          <w:p w14:paraId="597855B2" w14:textId="77777777" w:rsidR="003C2367" w:rsidRPr="00F53645" w:rsidRDefault="003C2367" w:rsidP="00E10B7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PROCESO DE NORMALIZACIÓN</w:t>
            </w:r>
          </w:p>
        </w:tc>
      </w:tr>
      <w:tr w:rsidR="003C2367" w:rsidRPr="00F53645" w14:paraId="04E0281A" w14:textId="77777777" w:rsidTr="00BE28C7">
        <w:trPr>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59B5195A" w14:textId="77777777" w:rsidR="003C2367" w:rsidRPr="00F53645" w:rsidRDefault="003C2367" w:rsidP="00E10B70">
            <w:pPr>
              <w:spacing w:before="0" w:after="0" w:line="240" w:lineRule="auto"/>
              <w:jc w:val="left"/>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PALMUCHO</w:t>
            </w:r>
          </w:p>
        </w:tc>
        <w:tc>
          <w:tcPr>
            <w:tcW w:w="1572" w:type="dxa"/>
            <w:shd w:val="clear" w:color="auto" w:fill="auto"/>
            <w:noWrap/>
            <w:hideMark/>
          </w:tcPr>
          <w:p w14:paraId="139A67CA"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2</w:t>
            </w:r>
          </w:p>
        </w:tc>
        <w:tc>
          <w:tcPr>
            <w:tcW w:w="1151" w:type="dxa"/>
            <w:shd w:val="clear" w:color="auto" w:fill="auto"/>
            <w:noWrap/>
            <w:hideMark/>
          </w:tcPr>
          <w:p w14:paraId="258C7EE9"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4</w:t>
            </w:r>
          </w:p>
        </w:tc>
        <w:tc>
          <w:tcPr>
            <w:tcW w:w="926" w:type="dxa"/>
            <w:shd w:val="clear" w:color="auto" w:fill="auto"/>
            <w:noWrap/>
            <w:hideMark/>
          </w:tcPr>
          <w:p w14:paraId="19ED71E9"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50%</w:t>
            </w:r>
          </w:p>
        </w:tc>
        <w:tc>
          <w:tcPr>
            <w:tcW w:w="4147" w:type="dxa"/>
            <w:shd w:val="clear" w:color="auto" w:fill="auto"/>
            <w:hideMark/>
          </w:tcPr>
          <w:p w14:paraId="4537B323" w14:textId="77777777" w:rsidR="003C2367" w:rsidRPr="00F53645" w:rsidRDefault="003C2367" w:rsidP="00E10B7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PROCESO DE NORMALIZACIÓN</w:t>
            </w:r>
          </w:p>
        </w:tc>
      </w:tr>
      <w:tr w:rsidR="003C2367" w:rsidRPr="00F53645" w14:paraId="1B5D0EB9" w14:textId="77777777" w:rsidTr="00BE28C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266F0D84" w14:textId="77777777" w:rsidR="003C2367" w:rsidRPr="00F53645" w:rsidRDefault="003C2367" w:rsidP="00E10B70">
            <w:pPr>
              <w:spacing w:before="0" w:after="0" w:line="240" w:lineRule="auto"/>
              <w:jc w:val="left"/>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PUNTILLA</w:t>
            </w:r>
          </w:p>
        </w:tc>
        <w:tc>
          <w:tcPr>
            <w:tcW w:w="1572" w:type="dxa"/>
            <w:shd w:val="clear" w:color="auto" w:fill="auto"/>
            <w:noWrap/>
            <w:hideMark/>
          </w:tcPr>
          <w:p w14:paraId="0D6650E8"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2</w:t>
            </w:r>
          </w:p>
        </w:tc>
        <w:tc>
          <w:tcPr>
            <w:tcW w:w="1151" w:type="dxa"/>
            <w:shd w:val="clear" w:color="auto" w:fill="auto"/>
            <w:noWrap/>
            <w:hideMark/>
          </w:tcPr>
          <w:p w14:paraId="293A807E"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19</w:t>
            </w:r>
          </w:p>
        </w:tc>
        <w:tc>
          <w:tcPr>
            <w:tcW w:w="926" w:type="dxa"/>
            <w:shd w:val="clear" w:color="auto" w:fill="auto"/>
            <w:noWrap/>
            <w:hideMark/>
          </w:tcPr>
          <w:p w14:paraId="44601BB1"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89%</w:t>
            </w:r>
          </w:p>
        </w:tc>
        <w:tc>
          <w:tcPr>
            <w:tcW w:w="4147" w:type="dxa"/>
            <w:shd w:val="clear" w:color="auto" w:fill="auto"/>
            <w:hideMark/>
          </w:tcPr>
          <w:p w14:paraId="36133ECD" w14:textId="77777777" w:rsidR="003C2367" w:rsidRPr="00F53645" w:rsidRDefault="003C2367" w:rsidP="00E10B7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PROCESO DE NORMALIZACIÓN</w:t>
            </w:r>
          </w:p>
        </w:tc>
      </w:tr>
      <w:tr w:rsidR="003C2367" w:rsidRPr="00F53645" w14:paraId="52DB5449" w14:textId="77777777" w:rsidTr="00BE28C7">
        <w:trPr>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5C0A9749" w14:textId="77777777" w:rsidR="003C2367" w:rsidRPr="00F53645" w:rsidRDefault="003C2367" w:rsidP="00E10B70">
            <w:pPr>
              <w:spacing w:before="0" w:after="0" w:line="240" w:lineRule="auto"/>
              <w:jc w:val="left"/>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GNL QUINTERO</w:t>
            </w:r>
          </w:p>
        </w:tc>
        <w:tc>
          <w:tcPr>
            <w:tcW w:w="1572" w:type="dxa"/>
            <w:shd w:val="clear" w:color="auto" w:fill="auto"/>
            <w:noWrap/>
            <w:hideMark/>
          </w:tcPr>
          <w:p w14:paraId="1D5AC1AF"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2</w:t>
            </w:r>
          </w:p>
        </w:tc>
        <w:tc>
          <w:tcPr>
            <w:tcW w:w="1151" w:type="dxa"/>
            <w:shd w:val="clear" w:color="auto" w:fill="auto"/>
            <w:noWrap/>
            <w:hideMark/>
          </w:tcPr>
          <w:p w14:paraId="3DC51B36"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3</w:t>
            </w:r>
          </w:p>
        </w:tc>
        <w:tc>
          <w:tcPr>
            <w:tcW w:w="926" w:type="dxa"/>
            <w:shd w:val="clear" w:color="auto" w:fill="auto"/>
            <w:noWrap/>
            <w:hideMark/>
          </w:tcPr>
          <w:p w14:paraId="4DB1A8C7"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33%</w:t>
            </w:r>
          </w:p>
        </w:tc>
        <w:tc>
          <w:tcPr>
            <w:tcW w:w="4147" w:type="dxa"/>
            <w:shd w:val="clear" w:color="auto" w:fill="auto"/>
            <w:hideMark/>
          </w:tcPr>
          <w:p w14:paraId="33A4C30B" w14:textId="77777777" w:rsidR="003C2367" w:rsidRPr="00F53645" w:rsidRDefault="003C2367" w:rsidP="00E10B7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PROCESO DE NORMALIZACIÓN</w:t>
            </w:r>
          </w:p>
        </w:tc>
      </w:tr>
      <w:tr w:rsidR="003C2367" w:rsidRPr="00F53645" w14:paraId="463BBDD7" w14:textId="77777777" w:rsidTr="00BE28C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433D65D0" w14:textId="77777777" w:rsidR="003C2367" w:rsidRPr="00F53645" w:rsidRDefault="003C2367" w:rsidP="00E10B70">
            <w:pPr>
              <w:spacing w:before="0" w:after="0" w:line="240" w:lineRule="auto"/>
              <w:jc w:val="left"/>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PRM</w:t>
            </w:r>
          </w:p>
        </w:tc>
        <w:tc>
          <w:tcPr>
            <w:tcW w:w="1572" w:type="dxa"/>
            <w:shd w:val="clear" w:color="auto" w:fill="auto"/>
            <w:noWrap/>
            <w:hideMark/>
          </w:tcPr>
          <w:p w14:paraId="2577A89E"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1</w:t>
            </w:r>
          </w:p>
        </w:tc>
        <w:tc>
          <w:tcPr>
            <w:tcW w:w="1151" w:type="dxa"/>
            <w:shd w:val="clear" w:color="auto" w:fill="auto"/>
            <w:noWrap/>
            <w:hideMark/>
          </w:tcPr>
          <w:p w14:paraId="7A8C76E2"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1</w:t>
            </w:r>
          </w:p>
        </w:tc>
        <w:tc>
          <w:tcPr>
            <w:tcW w:w="926" w:type="dxa"/>
            <w:shd w:val="clear" w:color="auto" w:fill="auto"/>
            <w:noWrap/>
            <w:hideMark/>
          </w:tcPr>
          <w:p w14:paraId="79B9B2DC"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0%</w:t>
            </w:r>
          </w:p>
        </w:tc>
        <w:tc>
          <w:tcPr>
            <w:tcW w:w="4147" w:type="dxa"/>
            <w:shd w:val="clear" w:color="auto" w:fill="auto"/>
            <w:hideMark/>
          </w:tcPr>
          <w:p w14:paraId="640F9E60" w14:textId="77777777" w:rsidR="003C2367" w:rsidRPr="00F53645" w:rsidRDefault="003C2367" w:rsidP="00E10B7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PROCESO DE NORMALIZACIÓN</w:t>
            </w:r>
          </w:p>
        </w:tc>
      </w:tr>
      <w:tr w:rsidR="003C2367" w:rsidRPr="00F53645" w14:paraId="55D80E1F" w14:textId="77777777" w:rsidTr="00BE28C7">
        <w:trPr>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7CEEA955" w14:textId="77777777" w:rsidR="003C2367" w:rsidRPr="00F53645" w:rsidRDefault="003C2367" w:rsidP="00E10B70">
            <w:pPr>
              <w:spacing w:before="0" w:after="0" w:line="240" w:lineRule="auto"/>
              <w:jc w:val="left"/>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HIDROELECTRICA LA ARENA</w:t>
            </w:r>
          </w:p>
        </w:tc>
        <w:tc>
          <w:tcPr>
            <w:tcW w:w="1572" w:type="dxa"/>
            <w:shd w:val="clear" w:color="auto" w:fill="auto"/>
            <w:noWrap/>
            <w:hideMark/>
          </w:tcPr>
          <w:p w14:paraId="6AE325FA"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1</w:t>
            </w:r>
          </w:p>
        </w:tc>
        <w:tc>
          <w:tcPr>
            <w:tcW w:w="1151" w:type="dxa"/>
            <w:shd w:val="clear" w:color="auto" w:fill="auto"/>
            <w:noWrap/>
            <w:hideMark/>
          </w:tcPr>
          <w:p w14:paraId="2734CAA7"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2</w:t>
            </w:r>
          </w:p>
        </w:tc>
        <w:tc>
          <w:tcPr>
            <w:tcW w:w="926" w:type="dxa"/>
            <w:shd w:val="clear" w:color="auto" w:fill="auto"/>
            <w:noWrap/>
            <w:hideMark/>
          </w:tcPr>
          <w:p w14:paraId="2F4F32A0"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50%</w:t>
            </w:r>
          </w:p>
        </w:tc>
        <w:tc>
          <w:tcPr>
            <w:tcW w:w="4147" w:type="dxa"/>
            <w:shd w:val="clear" w:color="auto" w:fill="auto"/>
            <w:hideMark/>
          </w:tcPr>
          <w:p w14:paraId="0C55E252" w14:textId="77777777" w:rsidR="003C2367" w:rsidRPr="00F53645" w:rsidRDefault="003C2367" w:rsidP="00E10B7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PROCESO DE NORMALIZACIÓN</w:t>
            </w:r>
          </w:p>
        </w:tc>
      </w:tr>
      <w:tr w:rsidR="003C2367" w:rsidRPr="00F53645" w14:paraId="3F44FB0B" w14:textId="77777777" w:rsidTr="00BE28C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5CA2AD27" w14:textId="77777777" w:rsidR="003C2367" w:rsidRPr="00F53645" w:rsidRDefault="003C2367" w:rsidP="00E10B70">
            <w:pPr>
              <w:spacing w:before="0" w:after="0" w:line="240" w:lineRule="auto"/>
              <w:jc w:val="left"/>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ENEL GREEN POWER</w:t>
            </w:r>
          </w:p>
        </w:tc>
        <w:tc>
          <w:tcPr>
            <w:tcW w:w="1572" w:type="dxa"/>
            <w:shd w:val="clear" w:color="auto" w:fill="auto"/>
            <w:noWrap/>
            <w:hideMark/>
          </w:tcPr>
          <w:p w14:paraId="67D98E9A"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1</w:t>
            </w:r>
          </w:p>
        </w:tc>
        <w:tc>
          <w:tcPr>
            <w:tcW w:w="1151" w:type="dxa"/>
            <w:shd w:val="clear" w:color="auto" w:fill="auto"/>
            <w:noWrap/>
            <w:hideMark/>
          </w:tcPr>
          <w:p w14:paraId="20409731"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34</w:t>
            </w:r>
          </w:p>
        </w:tc>
        <w:tc>
          <w:tcPr>
            <w:tcW w:w="926" w:type="dxa"/>
            <w:shd w:val="clear" w:color="auto" w:fill="auto"/>
            <w:noWrap/>
            <w:hideMark/>
          </w:tcPr>
          <w:p w14:paraId="68F50632"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97%</w:t>
            </w:r>
          </w:p>
        </w:tc>
        <w:tc>
          <w:tcPr>
            <w:tcW w:w="4147" w:type="dxa"/>
            <w:shd w:val="clear" w:color="auto" w:fill="auto"/>
            <w:hideMark/>
          </w:tcPr>
          <w:p w14:paraId="1AFB8C60" w14:textId="77777777" w:rsidR="003C2367" w:rsidRPr="00F53645" w:rsidRDefault="003C2367" w:rsidP="00E10B7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PROCESO DE NORMALIZACIÓN</w:t>
            </w:r>
          </w:p>
        </w:tc>
      </w:tr>
      <w:tr w:rsidR="003C2367" w:rsidRPr="00F53645" w14:paraId="44A0E51A" w14:textId="77777777" w:rsidTr="00BE28C7">
        <w:trPr>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545FA95D" w14:textId="77777777" w:rsidR="003C2367" w:rsidRPr="00F53645" w:rsidRDefault="003C2367" w:rsidP="00E10B70">
            <w:pPr>
              <w:spacing w:before="0" w:after="0" w:line="240" w:lineRule="auto"/>
              <w:jc w:val="left"/>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ECLIPSE SOLAR SPA</w:t>
            </w:r>
          </w:p>
        </w:tc>
        <w:tc>
          <w:tcPr>
            <w:tcW w:w="1572" w:type="dxa"/>
            <w:shd w:val="clear" w:color="auto" w:fill="auto"/>
            <w:noWrap/>
            <w:hideMark/>
          </w:tcPr>
          <w:p w14:paraId="74F142DA"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1</w:t>
            </w:r>
          </w:p>
        </w:tc>
        <w:tc>
          <w:tcPr>
            <w:tcW w:w="1151" w:type="dxa"/>
            <w:shd w:val="clear" w:color="auto" w:fill="auto"/>
            <w:noWrap/>
            <w:hideMark/>
          </w:tcPr>
          <w:p w14:paraId="669E9EE0"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1</w:t>
            </w:r>
          </w:p>
        </w:tc>
        <w:tc>
          <w:tcPr>
            <w:tcW w:w="926" w:type="dxa"/>
            <w:shd w:val="clear" w:color="auto" w:fill="auto"/>
            <w:noWrap/>
            <w:hideMark/>
          </w:tcPr>
          <w:p w14:paraId="6E41F6FA"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0%</w:t>
            </w:r>
          </w:p>
        </w:tc>
        <w:tc>
          <w:tcPr>
            <w:tcW w:w="4147" w:type="dxa"/>
            <w:shd w:val="clear" w:color="auto" w:fill="auto"/>
            <w:hideMark/>
          </w:tcPr>
          <w:p w14:paraId="73ACBB78" w14:textId="77777777" w:rsidR="003C2367" w:rsidRPr="00F53645" w:rsidRDefault="003C2367" w:rsidP="00E10B7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PROCESO DE NORMALIZACIÓN</w:t>
            </w:r>
          </w:p>
        </w:tc>
      </w:tr>
      <w:tr w:rsidR="003C2367" w:rsidRPr="00F53645" w14:paraId="5D6AD780" w14:textId="77777777" w:rsidTr="00BE28C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6B81EFAF" w14:textId="77777777" w:rsidR="003C2367" w:rsidRPr="00F53645" w:rsidRDefault="003C2367" w:rsidP="00E10B70">
            <w:pPr>
              <w:spacing w:before="0" w:after="0" w:line="240" w:lineRule="auto"/>
              <w:jc w:val="left"/>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MINERA ALTOS DE PUNITAQUI</w:t>
            </w:r>
          </w:p>
        </w:tc>
        <w:tc>
          <w:tcPr>
            <w:tcW w:w="1572" w:type="dxa"/>
            <w:shd w:val="clear" w:color="auto" w:fill="auto"/>
            <w:noWrap/>
            <w:hideMark/>
          </w:tcPr>
          <w:p w14:paraId="72D4F339"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1</w:t>
            </w:r>
          </w:p>
        </w:tc>
        <w:tc>
          <w:tcPr>
            <w:tcW w:w="1151" w:type="dxa"/>
            <w:shd w:val="clear" w:color="auto" w:fill="auto"/>
            <w:noWrap/>
            <w:hideMark/>
          </w:tcPr>
          <w:p w14:paraId="6E83CC36"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1</w:t>
            </w:r>
          </w:p>
        </w:tc>
        <w:tc>
          <w:tcPr>
            <w:tcW w:w="926" w:type="dxa"/>
            <w:shd w:val="clear" w:color="auto" w:fill="auto"/>
            <w:noWrap/>
            <w:hideMark/>
          </w:tcPr>
          <w:p w14:paraId="513E3338"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0%</w:t>
            </w:r>
          </w:p>
        </w:tc>
        <w:tc>
          <w:tcPr>
            <w:tcW w:w="4147" w:type="dxa"/>
            <w:shd w:val="clear" w:color="auto" w:fill="auto"/>
            <w:hideMark/>
          </w:tcPr>
          <w:p w14:paraId="5A3FD212" w14:textId="77777777" w:rsidR="003C2367" w:rsidRPr="00F53645" w:rsidRDefault="003C2367" w:rsidP="00E10B7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PROCESO DE NORMALIZACIÓN</w:t>
            </w:r>
          </w:p>
        </w:tc>
      </w:tr>
      <w:tr w:rsidR="003C2367" w:rsidRPr="00F53645" w14:paraId="7C0D0A08" w14:textId="77777777" w:rsidTr="00BE28C7">
        <w:trPr>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66DA36F8" w14:textId="77777777" w:rsidR="003C2367" w:rsidRPr="00F53645" w:rsidRDefault="003C2367" w:rsidP="00E10B70">
            <w:pPr>
              <w:spacing w:before="0" w:after="0" w:line="240" w:lineRule="auto"/>
              <w:jc w:val="left"/>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ENERGIA COYANCO</w:t>
            </w:r>
          </w:p>
        </w:tc>
        <w:tc>
          <w:tcPr>
            <w:tcW w:w="1572" w:type="dxa"/>
            <w:shd w:val="clear" w:color="auto" w:fill="auto"/>
            <w:noWrap/>
            <w:hideMark/>
          </w:tcPr>
          <w:p w14:paraId="5C7BB064"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1</w:t>
            </w:r>
          </w:p>
        </w:tc>
        <w:tc>
          <w:tcPr>
            <w:tcW w:w="1151" w:type="dxa"/>
            <w:shd w:val="clear" w:color="auto" w:fill="auto"/>
            <w:noWrap/>
            <w:hideMark/>
          </w:tcPr>
          <w:p w14:paraId="102AE68A"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2</w:t>
            </w:r>
          </w:p>
        </w:tc>
        <w:tc>
          <w:tcPr>
            <w:tcW w:w="926" w:type="dxa"/>
            <w:shd w:val="clear" w:color="auto" w:fill="auto"/>
            <w:noWrap/>
            <w:hideMark/>
          </w:tcPr>
          <w:p w14:paraId="58DAF96C"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50%</w:t>
            </w:r>
          </w:p>
        </w:tc>
        <w:tc>
          <w:tcPr>
            <w:tcW w:w="4147" w:type="dxa"/>
            <w:shd w:val="clear" w:color="auto" w:fill="auto"/>
            <w:hideMark/>
          </w:tcPr>
          <w:p w14:paraId="639F9466" w14:textId="77777777" w:rsidR="003C2367" w:rsidRPr="00F53645" w:rsidRDefault="003C2367" w:rsidP="00E10B7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SIN RESPUESTA</w:t>
            </w:r>
          </w:p>
        </w:tc>
      </w:tr>
      <w:tr w:rsidR="003C2367" w:rsidRPr="00F53645" w14:paraId="3950645D" w14:textId="77777777" w:rsidTr="00BE28C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1B46D436" w14:textId="77777777" w:rsidR="003C2367" w:rsidRPr="00F53645" w:rsidRDefault="003C2367" w:rsidP="00E10B70">
            <w:pPr>
              <w:spacing w:before="0" w:after="0" w:line="240" w:lineRule="auto"/>
              <w:jc w:val="left"/>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CAPULLO</w:t>
            </w:r>
          </w:p>
        </w:tc>
        <w:tc>
          <w:tcPr>
            <w:tcW w:w="1572" w:type="dxa"/>
            <w:shd w:val="clear" w:color="auto" w:fill="auto"/>
            <w:noWrap/>
            <w:hideMark/>
          </w:tcPr>
          <w:p w14:paraId="0747E679"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1</w:t>
            </w:r>
          </w:p>
        </w:tc>
        <w:tc>
          <w:tcPr>
            <w:tcW w:w="1151" w:type="dxa"/>
            <w:shd w:val="clear" w:color="auto" w:fill="auto"/>
            <w:noWrap/>
            <w:hideMark/>
          </w:tcPr>
          <w:p w14:paraId="6C61750A"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5</w:t>
            </w:r>
          </w:p>
        </w:tc>
        <w:tc>
          <w:tcPr>
            <w:tcW w:w="926" w:type="dxa"/>
            <w:shd w:val="clear" w:color="auto" w:fill="auto"/>
            <w:noWrap/>
            <w:hideMark/>
          </w:tcPr>
          <w:p w14:paraId="71D3EC9A"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80%</w:t>
            </w:r>
          </w:p>
        </w:tc>
        <w:tc>
          <w:tcPr>
            <w:tcW w:w="4147" w:type="dxa"/>
            <w:shd w:val="clear" w:color="auto" w:fill="auto"/>
            <w:hideMark/>
          </w:tcPr>
          <w:p w14:paraId="6A28C668" w14:textId="77777777" w:rsidR="003C2367" w:rsidRPr="00F53645" w:rsidRDefault="003C2367" w:rsidP="00E10B7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PROCESO DE NORMALIZACIÓN</w:t>
            </w:r>
          </w:p>
        </w:tc>
      </w:tr>
      <w:tr w:rsidR="003C2367" w:rsidRPr="00F53645" w14:paraId="2DA3EAAD" w14:textId="77777777" w:rsidTr="00BE28C7">
        <w:trPr>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5C2722CB" w14:textId="77777777" w:rsidR="003C2367" w:rsidRPr="00F53645" w:rsidRDefault="003C2367" w:rsidP="00E10B70">
            <w:pPr>
              <w:spacing w:before="0" w:after="0" w:line="240" w:lineRule="auto"/>
              <w:jc w:val="left"/>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MINERA CENTINELA</w:t>
            </w:r>
          </w:p>
        </w:tc>
        <w:tc>
          <w:tcPr>
            <w:tcW w:w="1572" w:type="dxa"/>
            <w:shd w:val="clear" w:color="auto" w:fill="auto"/>
            <w:noWrap/>
            <w:hideMark/>
          </w:tcPr>
          <w:p w14:paraId="646EABDF"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1</w:t>
            </w:r>
          </w:p>
        </w:tc>
        <w:tc>
          <w:tcPr>
            <w:tcW w:w="1151" w:type="dxa"/>
            <w:shd w:val="clear" w:color="auto" w:fill="auto"/>
            <w:noWrap/>
            <w:hideMark/>
          </w:tcPr>
          <w:p w14:paraId="04C479F5"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4</w:t>
            </w:r>
          </w:p>
        </w:tc>
        <w:tc>
          <w:tcPr>
            <w:tcW w:w="926" w:type="dxa"/>
            <w:shd w:val="clear" w:color="auto" w:fill="auto"/>
            <w:noWrap/>
            <w:hideMark/>
          </w:tcPr>
          <w:p w14:paraId="00876DB8"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75%</w:t>
            </w:r>
          </w:p>
        </w:tc>
        <w:tc>
          <w:tcPr>
            <w:tcW w:w="4147" w:type="dxa"/>
            <w:shd w:val="clear" w:color="auto" w:fill="auto"/>
            <w:hideMark/>
          </w:tcPr>
          <w:p w14:paraId="6688EAC8" w14:textId="77777777" w:rsidR="003C2367" w:rsidRPr="00F53645" w:rsidRDefault="003C2367" w:rsidP="00E10B7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SIN RESPUESTA</w:t>
            </w:r>
          </w:p>
        </w:tc>
      </w:tr>
      <w:tr w:rsidR="003C2367" w:rsidRPr="00F53645" w14:paraId="6C91230D" w14:textId="77777777" w:rsidTr="00BE28C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046EC2FF" w14:textId="77777777" w:rsidR="003C2367" w:rsidRPr="00F53645" w:rsidRDefault="003C2367" w:rsidP="00E10B70">
            <w:pPr>
              <w:spacing w:before="0" w:after="0" w:line="240" w:lineRule="auto"/>
              <w:jc w:val="left"/>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LOS_PUQUIOS</w:t>
            </w:r>
          </w:p>
        </w:tc>
        <w:tc>
          <w:tcPr>
            <w:tcW w:w="1572" w:type="dxa"/>
            <w:shd w:val="clear" w:color="auto" w:fill="auto"/>
            <w:noWrap/>
            <w:hideMark/>
          </w:tcPr>
          <w:p w14:paraId="283B6371"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1</w:t>
            </w:r>
          </w:p>
        </w:tc>
        <w:tc>
          <w:tcPr>
            <w:tcW w:w="1151" w:type="dxa"/>
            <w:shd w:val="clear" w:color="auto" w:fill="auto"/>
            <w:noWrap/>
            <w:hideMark/>
          </w:tcPr>
          <w:p w14:paraId="09629F60"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1</w:t>
            </w:r>
          </w:p>
        </w:tc>
        <w:tc>
          <w:tcPr>
            <w:tcW w:w="926" w:type="dxa"/>
            <w:shd w:val="clear" w:color="auto" w:fill="auto"/>
            <w:noWrap/>
            <w:hideMark/>
          </w:tcPr>
          <w:p w14:paraId="2788D7A1"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0%</w:t>
            </w:r>
          </w:p>
        </w:tc>
        <w:tc>
          <w:tcPr>
            <w:tcW w:w="4147" w:type="dxa"/>
            <w:shd w:val="clear" w:color="auto" w:fill="auto"/>
            <w:hideMark/>
          </w:tcPr>
          <w:p w14:paraId="47C50657" w14:textId="77777777" w:rsidR="003C2367" w:rsidRPr="00F53645" w:rsidRDefault="003C2367" w:rsidP="00E10B7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PROCESO DE NORMALIZACIÓN</w:t>
            </w:r>
          </w:p>
        </w:tc>
      </w:tr>
      <w:tr w:rsidR="003C2367" w:rsidRPr="00F53645" w14:paraId="0F11980C" w14:textId="77777777" w:rsidTr="00BE28C7">
        <w:trPr>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16FA95B2" w14:textId="77777777" w:rsidR="003C2367" w:rsidRPr="00F53645" w:rsidRDefault="003C2367" w:rsidP="00E10B70">
            <w:pPr>
              <w:spacing w:before="0" w:after="0" w:line="240" w:lineRule="auto"/>
              <w:jc w:val="left"/>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CLEANAIRTECH SUDAMERICA</w:t>
            </w:r>
          </w:p>
        </w:tc>
        <w:tc>
          <w:tcPr>
            <w:tcW w:w="1572" w:type="dxa"/>
            <w:shd w:val="clear" w:color="auto" w:fill="auto"/>
            <w:noWrap/>
            <w:hideMark/>
          </w:tcPr>
          <w:p w14:paraId="264D9DC4"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1</w:t>
            </w:r>
          </w:p>
        </w:tc>
        <w:tc>
          <w:tcPr>
            <w:tcW w:w="1151" w:type="dxa"/>
            <w:shd w:val="clear" w:color="auto" w:fill="auto"/>
            <w:noWrap/>
            <w:hideMark/>
          </w:tcPr>
          <w:p w14:paraId="0AAA225A"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1</w:t>
            </w:r>
          </w:p>
        </w:tc>
        <w:tc>
          <w:tcPr>
            <w:tcW w:w="926" w:type="dxa"/>
            <w:shd w:val="clear" w:color="auto" w:fill="auto"/>
            <w:noWrap/>
            <w:hideMark/>
          </w:tcPr>
          <w:p w14:paraId="3BF48860"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0%</w:t>
            </w:r>
          </w:p>
        </w:tc>
        <w:tc>
          <w:tcPr>
            <w:tcW w:w="4147" w:type="dxa"/>
            <w:shd w:val="clear" w:color="auto" w:fill="auto"/>
            <w:hideMark/>
          </w:tcPr>
          <w:p w14:paraId="2F208EC3" w14:textId="77777777" w:rsidR="003C2367" w:rsidRPr="00F53645" w:rsidRDefault="003C2367" w:rsidP="00E10B7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SIN RESPUESTA</w:t>
            </w:r>
          </w:p>
        </w:tc>
      </w:tr>
      <w:tr w:rsidR="003C2367" w:rsidRPr="00F53645" w14:paraId="0C013EF4" w14:textId="77777777" w:rsidTr="00BE28C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3102C998" w14:textId="77777777" w:rsidR="003C2367" w:rsidRPr="00F53645" w:rsidRDefault="003C2367" w:rsidP="00E10B70">
            <w:pPr>
              <w:spacing w:before="0" w:after="0" w:line="240" w:lineRule="auto"/>
              <w:jc w:val="left"/>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MINERA LOMAS BAYAS</w:t>
            </w:r>
          </w:p>
        </w:tc>
        <w:tc>
          <w:tcPr>
            <w:tcW w:w="1572" w:type="dxa"/>
            <w:shd w:val="clear" w:color="auto" w:fill="auto"/>
            <w:noWrap/>
            <w:hideMark/>
          </w:tcPr>
          <w:p w14:paraId="52FC9FC3"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1</w:t>
            </w:r>
          </w:p>
        </w:tc>
        <w:tc>
          <w:tcPr>
            <w:tcW w:w="1151" w:type="dxa"/>
            <w:shd w:val="clear" w:color="auto" w:fill="auto"/>
            <w:noWrap/>
            <w:hideMark/>
          </w:tcPr>
          <w:p w14:paraId="4089E9FC"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6</w:t>
            </w:r>
          </w:p>
        </w:tc>
        <w:tc>
          <w:tcPr>
            <w:tcW w:w="926" w:type="dxa"/>
            <w:shd w:val="clear" w:color="auto" w:fill="auto"/>
            <w:noWrap/>
            <w:hideMark/>
          </w:tcPr>
          <w:p w14:paraId="05E242D7"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83%</w:t>
            </w:r>
          </w:p>
        </w:tc>
        <w:tc>
          <w:tcPr>
            <w:tcW w:w="4147" w:type="dxa"/>
            <w:shd w:val="clear" w:color="auto" w:fill="auto"/>
            <w:hideMark/>
          </w:tcPr>
          <w:p w14:paraId="542AE0DC" w14:textId="77777777" w:rsidR="003C2367" w:rsidRPr="00F53645" w:rsidRDefault="003C2367" w:rsidP="00E10B7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PROCESO DE NORMALIZACIÓN</w:t>
            </w:r>
          </w:p>
        </w:tc>
      </w:tr>
      <w:tr w:rsidR="003C2367" w:rsidRPr="00F53645" w14:paraId="2CF54F58" w14:textId="77777777" w:rsidTr="00BE28C7">
        <w:trPr>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26D8C0C1" w14:textId="77777777" w:rsidR="003C2367" w:rsidRPr="00F53645" w:rsidRDefault="003C2367" w:rsidP="00E10B70">
            <w:pPr>
              <w:spacing w:before="0" w:after="0" w:line="240" w:lineRule="auto"/>
              <w:jc w:val="left"/>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ELECTRICA SAN MIGUEL</w:t>
            </w:r>
          </w:p>
        </w:tc>
        <w:tc>
          <w:tcPr>
            <w:tcW w:w="1572" w:type="dxa"/>
            <w:shd w:val="clear" w:color="auto" w:fill="auto"/>
            <w:noWrap/>
            <w:hideMark/>
          </w:tcPr>
          <w:p w14:paraId="646762BC"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1</w:t>
            </w:r>
          </w:p>
        </w:tc>
        <w:tc>
          <w:tcPr>
            <w:tcW w:w="1151" w:type="dxa"/>
            <w:shd w:val="clear" w:color="auto" w:fill="auto"/>
            <w:noWrap/>
            <w:hideMark/>
          </w:tcPr>
          <w:p w14:paraId="6D43B018"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1</w:t>
            </w:r>
          </w:p>
        </w:tc>
        <w:tc>
          <w:tcPr>
            <w:tcW w:w="926" w:type="dxa"/>
            <w:shd w:val="clear" w:color="auto" w:fill="auto"/>
            <w:noWrap/>
            <w:hideMark/>
          </w:tcPr>
          <w:p w14:paraId="58C774D7"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0%</w:t>
            </w:r>
          </w:p>
        </w:tc>
        <w:tc>
          <w:tcPr>
            <w:tcW w:w="4147" w:type="dxa"/>
            <w:shd w:val="clear" w:color="auto" w:fill="auto"/>
            <w:hideMark/>
          </w:tcPr>
          <w:p w14:paraId="76DA3A23" w14:textId="77777777" w:rsidR="003C2367" w:rsidRPr="00F53645" w:rsidRDefault="003C2367" w:rsidP="00E10B7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SIN RESPUESTA</w:t>
            </w:r>
          </w:p>
        </w:tc>
      </w:tr>
      <w:tr w:rsidR="003C2367" w:rsidRPr="00F53645" w14:paraId="27B6A1C4" w14:textId="77777777" w:rsidTr="00BE28C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59F1BBE8" w14:textId="77777777" w:rsidR="003C2367" w:rsidRPr="00F53645" w:rsidRDefault="003C2367" w:rsidP="00E10B70">
            <w:pPr>
              <w:spacing w:before="0" w:after="0" w:line="240" w:lineRule="auto"/>
              <w:jc w:val="left"/>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PACIFIC HYDRO</w:t>
            </w:r>
          </w:p>
        </w:tc>
        <w:tc>
          <w:tcPr>
            <w:tcW w:w="1572" w:type="dxa"/>
            <w:shd w:val="clear" w:color="auto" w:fill="auto"/>
            <w:noWrap/>
            <w:hideMark/>
          </w:tcPr>
          <w:p w14:paraId="29C2A46D"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1</w:t>
            </w:r>
          </w:p>
        </w:tc>
        <w:tc>
          <w:tcPr>
            <w:tcW w:w="1151" w:type="dxa"/>
            <w:shd w:val="clear" w:color="auto" w:fill="auto"/>
            <w:noWrap/>
            <w:hideMark/>
          </w:tcPr>
          <w:p w14:paraId="2B2AA7B7"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9</w:t>
            </w:r>
          </w:p>
        </w:tc>
        <w:tc>
          <w:tcPr>
            <w:tcW w:w="926" w:type="dxa"/>
            <w:shd w:val="clear" w:color="auto" w:fill="auto"/>
            <w:noWrap/>
            <w:hideMark/>
          </w:tcPr>
          <w:p w14:paraId="1E70E136"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89%</w:t>
            </w:r>
          </w:p>
        </w:tc>
        <w:tc>
          <w:tcPr>
            <w:tcW w:w="4147" w:type="dxa"/>
            <w:shd w:val="clear" w:color="auto" w:fill="auto"/>
            <w:hideMark/>
          </w:tcPr>
          <w:p w14:paraId="6B7CA443" w14:textId="77777777" w:rsidR="003C2367" w:rsidRPr="00F53645" w:rsidRDefault="003C2367" w:rsidP="00E10B7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PROCESO DE NORMALIZACIÓN</w:t>
            </w:r>
          </w:p>
        </w:tc>
      </w:tr>
      <w:tr w:rsidR="003C2367" w:rsidRPr="00F53645" w14:paraId="4CF94046" w14:textId="77777777" w:rsidTr="00BE28C7">
        <w:trPr>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2468A6C2" w14:textId="77777777" w:rsidR="003C2367" w:rsidRPr="00F53645" w:rsidRDefault="003C2367" w:rsidP="00E10B70">
            <w:pPr>
              <w:spacing w:before="0" w:after="0" w:line="240" w:lineRule="auto"/>
              <w:jc w:val="left"/>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LA_HUAYCA</w:t>
            </w:r>
          </w:p>
        </w:tc>
        <w:tc>
          <w:tcPr>
            <w:tcW w:w="1572" w:type="dxa"/>
            <w:shd w:val="clear" w:color="auto" w:fill="auto"/>
            <w:noWrap/>
            <w:hideMark/>
          </w:tcPr>
          <w:p w14:paraId="5DD2300D"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1</w:t>
            </w:r>
          </w:p>
        </w:tc>
        <w:tc>
          <w:tcPr>
            <w:tcW w:w="1151" w:type="dxa"/>
            <w:shd w:val="clear" w:color="auto" w:fill="auto"/>
            <w:noWrap/>
            <w:hideMark/>
          </w:tcPr>
          <w:p w14:paraId="638A38D0"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4</w:t>
            </w:r>
          </w:p>
        </w:tc>
        <w:tc>
          <w:tcPr>
            <w:tcW w:w="926" w:type="dxa"/>
            <w:shd w:val="clear" w:color="auto" w:fill="auto"/>
            <w:noWrap/>
            <w:hideMark/>
          </w:tcPr>
          <w:p w14:paraId="48B27873" w14:textId="77777777" w:rsidR="003C2367" w:rsidRPr="00F53645" w:rsidRDefault="003C2367" w:rsidP="00E10B70">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75%</w:t>
            </w:r>
          </w:p>
        </w:tc>
        <w:tc>
          <w:tcPr>
            <w:tcW w:w="4147" w:type="dxa"/>
            <w:shd w:val="clear" w:color="auto" w:fill="auto"/>
            <w:hideMark/>
          </w:tcPr>
          <w:p w14:paraId="01C3BB68" w14:textId="77777777" w:rsidR="003C2367" w:rsidRPr="00F53645" w:rsidRDefault="003C2367" w:rsidP="00E10B70">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PROCESO DE NORMALIZACIÓN</w:t>
            </w:r>
          </w:p>
        </w:tc>
      </w:tr>
      <w:tr w:rsidR="003C2367" w:rsidRPr="00F53645" w14:paraId="64B7BD7F" w14:textId="77777777" w:rsidTr="00BE28C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noWrap/>
            <w:hideMark/>
          </w:tcPr>
          <w:p w14:paraId="11239FD1" w14:textId="77777777" w:rsidR="003C2367" w:rsidRPr="00F53645" w:rsidRDefault="003C2367" w:rsidP="00E10B70">
            <w:pPr>
              <w:spacing w:before="0" w:after="0" w:line="240" w:lineRule="auto"/>
              <w:jc w:val="left"/>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PARQUE EOLICO TALTAL</w:t>
            </w:r>
          </w:p>
        </w:tc>
        <w:tc>
          <w:tcPr>
            <w:tcW w:w="1572" w:type="dxa"/>
            <w:shd w:val="clear" w:color="auto" w:fill="auto"/>
            <w:noWrap/>
            <w:hideMark/>
          </w:tcPr>
          <w:p w14:paraId="1EB6CC00"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1</w:t>
            </w:r>
          </w:p>
        </w:tc>
        <w:tc>
          <w:tcPr>
            <w:tcW w:w="1151" w:type="dxa"/>
            <w:shd w:val="clear" w:color="auto" w:fill="auto"/>
            <w:noWrap/>
            <w:hideMark/>
          </w:tcPr>
          <w:p w14:paraId="65BCE2E1"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2</w:t>
            </w:r>
          </w:p>
        </w:tc>
        <w:tc>
          <w:tcPr>
            <w:tcW w:w="926" w:type="dxa"/>
            <w:shd w:val="clear" w:color="auto" w:fill="auto"/>
            <w:noWrap/>
            <w:hideMark/>
          </w:tcPr>
          <w:p w14:paraId="1A58CB80" w14:textId="77777777" w:rsidR="003C2367" w:rsidRPr="00F53645" w:rsidRDefault="003C2367" w:rsidP="00E10B7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50%</w:t>
            </w:r>
          </w:p>
        </w:tc>
        <w:tc>
          <w:tcPr>
            <w:tcW w:w="4147" w:type="dxa"/>
            <w:shd w:val="clear" w:color="auto" w:fill="auto"/>
            <w:hideMark/>
          </w:tcPr>
          <w:p w14:paraId="5B83A758" w14:textId="77777777" w:rsidR="003C2367" w:rsidRPr="00F53645" w:rsidRDefault="003C2367" w:rsidP="00E10B7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eastAsia="es-CL"/>
              </w:rPr>
            </w:pPr>
            <w:r w:rsidRPr="00F53645">
              <w:rPr>
                <w:rFonts w:asciiTheme="minorHAnsi" w:hAnsiTheme="minorHAnsi" w:cstheme="minorHAnsi"/>
                <w:color w:val="000000"/>
                <w:sz w:val="18"/>
                <w:szCs w:val="18"/>
                <w:lang w:eastAsia="es-CL"/>
              </w:rPr>
              <w:t>PROCESO DE NORMALIZACIÓN</w:t>
            </w:r>
          </w:p>
        </w:tc>
      </w:tr>
      <w:bookmarkEnd w:id="59"/>
      <w:bookmarkEnd w:id="60"/>
    </w:tbl>
    <w:p w14:paraId="0F973805" w14:textId="77777777" w:rsidR="003C2367" w:rsidRPr="006D3C08" w:rsidRDefault="003C2367" w:rsidP="003C2367">
      <w:pPr>
        <w:rPr>
          <w:iCs/>
          <w:sz w:val="20"/>
        </w:rPr>
      </w:pPr>
    </w:p>
    <w:sectPr w:rsidR="003C2367" w:rsidRPr="006D3C08" w:rsidSect="0002290E">
      <w:headerReference w:type="default" r:id="rId23"/>
      <w:pgSz w:w="12240" w:h="15840"/>
      <w:pgMar w:top="1134" w:right="902"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1B09C" w14:textId="77777777" w:rsidR="00DD7092" w:rsidRDefault="00DD7092" w:rsidP="00007E51">
      <w:r>
        <w:separator/>
      </w:r>
    </w:p>
  </w:endnote>
  <w:endnote w:type="continuationSeparator" w:id="0">
    <w:p w14:paraId="6319E842" w14:textId="77777777" w:rsidR="00DD7092" w:rsidRDefault="00DD7092" w:rsidP="0000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
    <w:altName w:val="Microsoft YaHei"/>
    <w:charset w:val="00"/>
    <w:family w:val="auto"/>
    <w:pitch w:val="variable"/>
    <w:sig w:usb0="800000A7" w:usb1="00000000" w:usb2="00000000" w:usb3="00000000" w:csb0="00000009" w:csb1="00000000"/>
  </w:font>
  <w:font w:name="Swis721 Lt BT">
    <w:panose1 w:val="020B0403020202020204"/>
    <w:charset w:val="00"/>
    <w:family w:val="swiss"/>
    <w:pitch w:val="variable"/>
    <w:sig w:usb0="00000087" w:usb1="00000000" w:usb2="00000000" w:usb3="00000000" w:csb0="0000001B" w:csb1="00000000"/>
  </w:font>
  <w:font w:name="HelveticaNeueLT Std Med">
    <w:altName w:val="Tw Cen MT Condensed Extra Bold"/>
    <w:panose1 w:val="00000000000000000000"/>
    <w:charset w:val="00"/>
    <w:family w:val="swiss"/>
    <w:notTrueType/>
    <w:pitch w:val="variable"/>
    <w:sig w:usb0="800000AF" w:usb1="4000204A" w:usb2="00000000" w:usb3="00000000" w:csb0="00000001" w:csb1="00000000"/>
  </w:font>
  <w:font w:name="HelveticaNeueLT Std Ext">
    <w:altName w:val="Swis721 Ex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DIN Pro Regular">
    <w:altName w:val="Calibri"/>
    <w:panose1 w:val="020B0504020101020102"/>
    <w:charset w:val="00"/>
    <w:family w:val="swiss"/>
    <w:pitch w:val="variable"/>
    <w:sig w:usb0="A00002BF" w:usb1="4000207B" w:usb2="00000008"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2597C" w14:textId="3686043F" w:rsidR="00DC3B8C" w:rsidRDefault="00DC3B8C" w:rsidP="001D37F2">
    <w:pPr>
      <w:pStyle w:val="Piedepgina"/>
      <w:tabs>
        <w:tab w:val="clear" w:pos="8838"/>
        <w:tab w:val="right" w:pos="9781"/>
      </w:tabs>
      <w:jc w:val="left"/>
    </w:pPr>
    <w:r>
      <w:t xml:space="preserve">Marzo 2020 | Informe Anual de Cumplimientos        </w:t>
    </w:r>
    <w:r>
      <w:tab/>
      <w:t xml:space="preserve">                                                       </w:t>
    </w:r>
    <w:sdt>
      <w:sdtPr>
        <w:id w:val="-67108227"/>
        <w:docPartObj>
          <w:docPartGallery w:val="Page Numbers (Bottom of Page)"/>
          <w:docPartUnique/>
        </w:docPartObj>
      </w:sdtPr>
      <w:sdtEndPr/>
      <w:sdtContent>
        <w:r>
          <w:t xml:space="preserve"> </w:t>
        </w:r>
        <w:r>
          <w:fldChar w:fldCharType="begin"/>
        </w:r>
        <w:r>
          <w:instrText>PAGE   \* MERGEFORMAT</w:instrText>
        </w:r>
        <w:r>
          <w:fldChar w:fldCharType="separate"/>
        </w:r>
        <w:r w:rsidRPr="00D21638">
          <w:rPr>
            <w:noProof/>
            <w:lang w:val="es-ES"/>
          </w:rPr>
          <w:t>25</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105F2" w14:textId="77777777" w:rsidR="00DD7092" w:rsidRDefault="00DD7092" w:rsidP="00007E51">
      <w:r>
        <w:separator/>
      </w:r>
    </w:p>
  </w:footnote>
  <w:footnote w:type="continuationSeparator" w:id="0">
    <w:p w14:paraId="5DAB31B7" w14:textId="77777777" w:rsidR="00DD7092" w:rsidRDefault="00DD7092" w:rsidP="00007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2AD88" w14:textId="77777777" w:rsidR="00DC3B8C" w:rsidRDefault="00DC3B8C" w:rsidP="0080610D">
    <w:pPr>
      <w:pStyle w:val="Encabezado"/>
      <w:jc w:val="right"/>
    </w:pPr>
    <w:r w:rsidRPr="00B34806">
      <w:rPr>
        <w:noProof/>
        <w:lang w:eastAsia="es-CL"/>
      </w:rPr>
      <w:drawing>
        <wp:inline distT="0" distB="0" distL="0" distR="0" wp14:anchorId="66EB2DDE" wp14:editId="674B9A2D">
          <wp:extent cx="1318437" cy="82757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712" cy="835904"/>
                  </a:xfrm>
                  <a:prstGeom prst="rect">
                    <a:avLst/>
                  </a:prstGeom>
                  <a:noFill/>
                  <a:ln>
                    <a:noFill/>
                  </a:ln>
                </pic:spPr>
              </pic:pic>
            </a:graphicData>
          </a:graphic>
        </wp:inline>
      </w:drawing>
    </w:r>
  </w:p>
  <w:p w14:paraId="05D7FE38" w14:textId="77777777" w:rsidR="00DC3B8C" w:rsidRPr="008329B0" w:rsidRDefault="00DC3B8C" w:rsidP="0080610D">
    <w:pPr>
      <w:pStyle w:val="Encabezado"/>
      <w:jc w:val="right"/>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AD8A6" w14:textId="77777777" w:rsidR="00DC3B8C" w:rsidRDefault="00DD7092">
    <w:pPr>
      <w:pStyle w:val="Encabezado"/>
    </w:pPr>
    <w:r>
      <w:rPr>
        <w:noProof/>
        <w:lang w:eastAsia="es-CL"/>
      </w:rPr>
      <w:pict w14:anchorId="5A66AC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85.05pt;margin-top:-49.55pt;width:612pt;height:11in;z-index:-251658752;mso-wrap-edited:f;mso-position-horizontal-relative:margin;mso-position-vertical-relative:margin" wrapcoords="-26 0 -26 21559 21600 21559 21600 0 -26 0">
          <v:imagedata r:id="rId1" o:title="PLANTILLA 4 DOCUMENTO COORDINADOR ELECTRICO NACIONAL-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684FD" w14:textId="77777777" w:rsidR="00DC3B8C" w:rsidRDefault="00DC3B8C" w:rsidP="0080610D">
    <w:pPr>
      <w:pStyle w:val="Encabezado"/>
      <w:jc w:val="right"/>
    </w:pPr>
    <w:r w:rsidRPr="00B34806">
      <w:rPr>
        <w:noProof/>
        <w:lang w:eastAsia="es-CL"/>
      </w:rPr>
      <w:drawing>
        <wp:inline distT="0" distB="0" distL="0" distR="0" wp14:anchorId="2FE92A66" wp14:editId="1F0C46ED">
          <wp:extent cx="1318437" cy="82757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712" cy="835904"/>
                  </a:xfrm>
                  <a:prstGeom prst="rect">
                    <a:avLst/>
                  </a:prstGeom>
                  <a:noFill/>
                  <a:ln>
                    <a:noFill/>
                  </a:ln>
                </pic:spPr>
              </pic:pic>
            </a:graphicData>
          </a:graphic>
        </wp:inline>
      </w:drawing>
    </w:r>
  </w:p>
  <w:p w14:paraId="0568B02F" w14:textId="77777777" w:rsidR="00DC3B8C" w:rsidRPr="008329B0" w:rsidRDefault="00DC3B8C" w:rsidP="0080610D">
    <w:pPr>
      <w:pStyle w:val="Encabezado"/>
      <w:jc w:val="righ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7E02"/>
    <w:multiLevelType w:val="multilevel"/>
    <w:tmpl w:val="87124844"/>
    <w:lvl w:ilvl="0">
      <w:start w:val="1"/>
      <w:numFmt w:val="decimal"/>
      <w:lvlText w:val="%1."/>
      <w:lvlJc w:val="left"/>
      <w:pPr>
        <w:tabs>
          <w:tab w:val="num" w:pos="357"/>
        </w:tabs>
        <w:ind w:left="0" w:firstLine="0"/>
      </w:pPr>
      <w:rPr>
        <w:rFonts w:ascii="Calibri" w:hAnsi="Calibri" w:hint="default"/>
        <w:b/>
        <w:i w:val="0"/>
        <w:sz w:val="28"/>
      </w:rPr>
    </w:lvl>
    <w:lvl w:ilvl="1">
      <w:start w:val="1"/>
      <w:numFmt w:val="decimal"/>
      <w:suff w:val="space"/>
      <w:lvlText w:val="%1.%2."/>
      <w:lvlJc w:val="left"/>
      <w:pPr>
        <w:ind w:left="0" w:firstLine="0"/>
      </w:pPr>
      <w:rPr>
        <w:rFonts w:ascii="Calibri" w:hAnsi="Calibri" w:hint="default"/>
        <w:b/>
        <w:i w:val="0"/>
        <w:sz w:val="24"/>
      </w:rPr>
    </w:lvl>
    <w:lvl w:ilvl="2">
      <w:start w:val="1"/>
      <w:numFmt w:val="decimal"/>
      <w:suff w:val="space"/>
      <w:lvlText w:val="%1.%2.%3"/>
      <w:lvlJc w:val="left"/>
      <w:pPr>
        <w:ind w:left="0" w:firstLine="0"/>
      </w:pPr>
      <w:rPr>
        <w:rFonts w:ascii="Calibri" w:hAnsi="Calibri" w:hint="default"/>
        <w:b/>
        <w:i w:val="0"/>
        <w:sz w:val="22"/>
      </w:rPr>
    </w:lvl>
    <w:lvl w:ilvl="3">
      <w:start w:val="1"/>
      <w:numFmt w:val="lowerLetter"/>
      <w:suff w:val="space"/>
      <w:lvlText w:val="%4)"/>
      <w:lvlJc w:val="left"/>
      <w:pPr>
        <w:ind w:left="510" w:hanging="226"/>
      </w:pPr>
      <w:rPr>
        <w:rFonts w:hint="default"/>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4F3B35"/>
    <w:multiLevelType w:val="hybridMultilevel"/>
    <w:tmpl w:val="C4989648"/>
    <w:lvl w:ilvl="0" w:tplc="AE56B858">
      <w:start w:val="1"/>
      <w:numFmt w:val="bullet"/>
      <w:lvlText w:val=""/>
      <w:lvlJc w:val="left"/>
      <w:pPr>
        <w:ind w:left="720" w:hanging="360"/>
      </w:pPr>
      <w:rPr>
        <w:rFonts w:ascii="Symbol" w:hAnsi="Symbol" w:hint="default"/>
        <w:sz w:val="1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FE90796"/>
    <w:multiLevelType w:val="hybridMultilevel"/>
    <w:tmpl w:val="83C218A4"/>
    <w:lvl w:ilvl="0" w:tplc="340A0001">
      <w:start w:val="1"/>
      <w:numFmt w:val="bullet"/>
      <w:lvlText w:val=""/>
      <w:lvlJc w:val="left"/>
      <w:pPr>
        <w:ind w:left="720" w:hanging="360"/>
      </w:pPr>
      <w:rPr>
        <w:rFonts w:ascii="Symbol" w:hAnsi="Symbol" w:hint="default"/>
      </w:rPr>
    </w:lvl>
    <w:lvl w:ilvl="1" w:tplc="339A0522">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15F1050"/>
    <w:multiLevelType w:val="hybridMultilevel"/>
    <w:tmpl w:val="FFE82CF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4A3FBF"/>
    <w:multiLevelType w:val="multilevel"/>
    <w:tmpl w:val="929261B8"/>
    <w:lvl w:ilvl="0">
      <w:start w:val="1"/>
      <w:numFmt w:val="decimal"/>
      <w:pStyle w:val="Artculo"/>
      <w:suff w:val="space"/>
      <w:lvlText w:val="Artículo %1."/>
      <w:lvlJc w:val="left"/>
      <w:pPr>
        <w:ind w:left="0" w:firstLine="0"/>
      </w:pPr>
      <w:rPr>
        <w:rFonts w:ascii="Arial" w:hAnsi="Arial" w:hint="default"/>
        <w:b/>
        <w:i w:val="0"/>
        <w:color w:val="000000"/>
        <w:sz w:val="20"/>
        <w:szCs w:val="20"/>
      </w:rPr>
    </w:lvl>
    <w:lvl w:ilvl="1">
      <w:start w:val="1"/>
      <w:numFmt w:val="decimalZero"/>
      <w:isLgl/>
      <w:lvlText w:val="Sección %1.%2"/>
      <w:lvlJc w:val="left"/>
      <w:pPr>
        <w:tabs>
          <w:tab w:val="num" w:pos="1800"/>
        </w:tabs>
        <w:ind w:left="360" w:firstLine="0"/>
      </w:pPr>
      <w:rPr>
        <w:rFonts w:ascii="Times New Roman" w:hAnsi="Times New Roman" w:hint="default"/>
        <w:b w:val="0"/>
        <w:i w:val="0"/>
        <w:sz w:val="24"/>
        <w:szCs w:val="24"/>
      </w:rPr>
    </w:lvl>
    <w:lvl w:ilvl="2">
      <w:start w:val="1"/>
      <w:numFmt w:val="lowerLetter"/>
      <w:lvlText w:val="(%3)"/>
      <w:lvlJc w:val="left"/>
      <w:pPr>
        <w:tabs>
          <w:tab w:val="num" w:pos="1080"/>
        </w:tabs>
        <w:ind w:left="1080" w:hanging="432"/>
      </w:pPr>
      <w:rPr>
        <w:rFonts w:hint="default"/>
      </w:rPr>
    </w:lvl>
    <w:lvl w:ilvl="3">
      <w:start w:val="1"/>
      <w:numFmt w:val="lowerRoman"/>
      <w:lvlText w:val="(%4)"/>
      <w:lvlJc w:val="right"/>
      <w:pPr>
        <w:tabs>
          <w:tab w:val="num" w:pos="1224"/>
        </w:tabs>
        <w:ind w:left="1224" w:hanging="144"/>
      </w:pPr>
      <w:rPr>
        <w:rFonts w:hint="default"/>
      </w:rPr>
    </w:lvl>
    <w:lvl w:ilvl="4">
      <w:start w:val="1"/>
      <w:numFmt w:val="decimal"/>
      <w:lvlText w:val="%5)"/>
      <w:lvlJc w:val="left"/>
      <w:pPr>
        <w:tabs>
          <w:tab w:val="num" w:pos="1368"/>
        </w:tabs>
        <w:ind w:left="1368" w:hanging="432"/>
      </w:pPr>
      <w:rPr>
        <w:rFonts w:hint="default"/>
      </w:rPr>
    </w:lvl>
    <w:lvl w:ilvl="5">
      <w:start w:val="1"/>
      <w:numFmt w:val="lowerLetter"/>
      <w:lvlText w:val="%6)"/>
      <w:lvlJc w:val="left"/>
      <w:pPr>
        <w:tabs>
          <w:tab w:val="num" w:pos="1512"/>
        </w:tabs>
        <w:ind w:left="1512" w:hanging="432"/>
      </w:pPr>
      <w:rPr>
        <w:rFonts w:hint="default"/>
      </w:rPr>
    </w:lvl>
    <w:lvl w:ilvl="6">
      <w:start w:val="1"/>
      <w:numFmt w:val="lowerRoman"/>
      <w:lvlText w:val="%7)"/>
      <w:lvlJc w:val="right"/>
      <w:pPr>
        <w:tabs>
          <w:tab w:val="num" w:pos="1656"/>
        </w:tabs>
        <w:ind w:left="1656" w:hanging="288"/>
      </w:pPr>
      <w:rPr>
        <w:rFonts w:hint="default"/>
      </w:rPr>
    </w:lvl>
    <w:lvl w:ilvl="7">
      <w:start w:val="1"/>
      <w:numFmt w:val="lowerLetter"/>
      <w:lvlText w:val="%8."/>
      <w:lvlJc w:val="left"/>
      <w:pPr>
        <w:tabs>
          <w:tab w:val="num" w:pos="1800"/>
        </w:tabs>
        <w:ind w:left="1800" w:hanging="432"/>
      </w:pPr>
      <w:rPr>
        <w:rFonts w:hint="default"/>
      </w:rPr>
    </w:lvl>
    <w:lvl w:ilvl="8">
      <w:start w:val="1"/>
      <w:numFmt w:val="lowerRoman"/>
      <w:lvlText w:val="%9."/>
      <w:lvlJc w:val="right"/>
      <w:pPr>
        <w:tabs>
          <w:tab w:val="num" w:pos="1944"/>
        </w:tabs>
        <w:ind w:left="1944" w:hanging="144"/>
      </w:pPr>
      <w:rPr>
        <w:rFonts w:hint="default"/>
      </w:rPr>
    </w:lvl>
  </w:abstractNum>
  <w:abstractNum w:abstractNumId="5" w15:restartNumberingAfterBreak="0">
    <w:nsid w:val="1399129B"/>
    <w:multiLevelType w:val="hybridMultilevel"/>
    <w:tmpl w:val="F6141C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A723B31"/>
    <w:multiLevelType w:val="multilevel"/>
    <w:tmpl w:val="5F84BE22"/>
    <w:lvl w:ilvl="0">
      <w:start w:val="1"/>
      <w:numFmt w:val="decimal"/>
      <w:pStyle w:val="Ttulo2"/>
      <w:lvlText w:val="%1."/>
      <w:lvlJc w:val="left"/>
      <w:pPr>
        <w:ind w:left="4613" w:hanging="360"/>
      </w:pPr>
      <w:rPr>
        <w:rFonts w:hint="default"/>
      </w:rPr>
    </w:lvl>
    <w:lvl w:ilvl="1">
      <w:start w:val="1"/>
      <w:numFmt w:val="decimal"/>
      <w:pStyle w:val="Ttulo3"/>
      <w:isLgl/>
      <w:lvlText w:val="%1.%2."/>
      <w:lvlJc w:val="left"/>
      <w:pPr>
        <w:ind w:left="360" w:hanging="360"/>
      </w:pPr>
      <w:rPr>
        <w:rFonts w:hint="default"/>
        <w:color w:val="auto"/>
      </w:rPr>
    </w:lvl>
    <w:lvl w:ilvl="2">
      <w:start w:val="1"/>
      <w:numFmt w:val="decimal"/>
      <w:pStyle w:val="Ttulo4"/>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0545C18"/>
    <w:multiLevelType w:val="hybridMultilevel"/>
    <w:tmpl w:val="7C22C9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3F10641"/>
    <w:multiLevelType w:val="hybridMultilevel"/>
    <w:tmpl w:val="D3CAA8B2"/>
    <w:lvl w:ilvl="0" w:tplc="C354EB76">
      <w:start w:val="1"/>
      <w:numFmt w:val="lowerLetter"/>
      <w:lvlText w:val="%1)"/>
      <w:lvlJc w:val="left"/>
      <w:pPr>
        <w:ind w:left="502" w:hanging="360"/>
      </w:pPr>
      <w:rPr>
        <w:rFonts w:hint="default"/>
      </w:rPr>
    </w:lvl>
    <w:lvl w:ilvl="1" w:tplc="340A0019" w:tentative="1">
      <w:start w:val="1"/>
      <w:numFmt w:val="lowerLetter"/>
      <w:lvlText w:val="%2."/>
      <w:lvlJc w:val="left"/>
      <w:pPr>
        <w:ind w:left="1397" w:hanging="360"/>
      </w:pPr>
    </w:lvl>
    <w:lvl w:ilvl="2" w:tplc="340A001B" w:tentative="1">
      <w:start w:val="1"/>
      <w:numFmt w:val="lowerRoman"/>
      <w:lvlText w:val="%3."/>
      <w:lvlJc w:val="right"/>
      <w:pPr>
        <w:ind w:left="2117" w:hanging="180"/>
      </w:pPr>
    </w:lvl>
    <w:lvl w:ilvl="3" w:tplc="340A000F" w:tentative="1">
      <w:start w:val="1"/>
      <w:numFmt w:val="decimal"/>
      <w:lvlText w:val="%4."/>
      <w:lvlJc w:val="left"/>
      <w:pPr>
        <w:ind w:left="2837" w:hanging="360"/>
      </w:pPr>
    </w:lvl>
    <w:lvl w:ilvl="4" w:tplc="340A0019" w:tentative="1">
      <w:start w:val="1"/>
      <w:numFmt w:val="lowerLetter"/>
      <w:lvlText w:val="%5."/>
      <w:lvlJc w:val="left"/>
      <w:pPr>
        <w:ind w:left="3557" w:hanging="360"/>
      </w:pPr>
    </w:lvl>
    <w:lvl w:ilvl="5" w:tplc="340A001B" w:tentative="1">
      <w:start w:val="1"/>
      <w:numFmt w:val="lowerRoman"/>
      <w:lvlText w:val="%6."/>
      <w:lvlJc w:val="right"/>
      <w:pPr>
        <w:ind w:left="4277" w:hanging="180"/>
      </w:pPr>
    </w:lvl>
    <w:lvl w:ilvl="6" w:tplc="340A000F" w:tentative="1">
      <w:start w:val="1"/>
      <w:numFmt w:val="decimal"/>
      <w:lvlText w:val="%7."/>
      <w:lvlJc w:val="left"/>
      <w:pPr>
        <w:ind w:left="4997" w:hanging="360"/>
      </w:pPr>
    </w:lvl>
    <w:lvl w:ilvl="7" w:tplc="340A0019" w:tentative="1">
      <w:start w:val="1"/>
      <w:numFmt w:val="lowerLetter"/>
      <w:lvlText w:val="%8."/>
      <w:lvlJc w:val="left"/>
      <w:pPr>
        <w:ind w:left="5717" w:hanging="360"/>
      </w:pPr>
    </w:lvl>
    <w:lvl w:ilvl="8" w:tplc="340A001B" w:tentative="1">
      <w:start w:val="1"/>
      <w:numFmt w:val="lowerRoman"/>
      <w:lvlText w:val="%9."/>
      <w:lvlJc w:val="right"/>
      <w:pPr>
        <w:ind w:left="6437" w:hanging="180"/>
      </w:pPr>
    </w:lvl>
  </w:abstractNum>
  <w:abstractNum w:abstractNumId="9" w15:restartNumberingAfterBreak="0">
    <w:nsid w:val="254A4CEB"/>
    <w:multiLevelType w:val="hybridMultilevel"/>
    <w:tmpl w:val="F6E40C72"/>
    <w:lvl w:ilvl="0" w:tplc="E5CC67BA">
      <w:start w:val="1"/>
      <w:numFmt w:val="decimal"/>
      <w:lvlText w:val="%1."/>
      <w:lvlJc w:val="left"/>
      <w:pPr>
        <w:ind w:left="930" w:hanging="570"/>
      </w:pPr>
    </w:lvl>
    <w:lvl w:ilvl="1" w:tplc="C5C224E8">
      <w:start w:val="1"/>
      <w:numFmt w:val="bullet"/>
      <w:lvlText w:val=""/>
      <w:lvlJc w:val="left"/>
      <w:pPr>
        <w:tabs>
          <w:tab w:val="num" w:pos="1440"/>
        </w:tabs>
        <w:ind w:left="1440" w:hanging="360"/>
      </w:pPr>
      <w:rPr>
        <w:rFonts w:ascii="Symbol" w:hAnsi="Symbol" w:hint="default"/>
        <w:sz w:val="18"/>
      </w:r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0" w15:restartNumberingAfterBreak="0">
    <w:nsid w:val="264C5E30"/>
    <w:multiLevelType w:val="hybridMultilevel"/>
    <w:tmpl w:val="4B4400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A30479"/>
    <w:multiLevelType w:val="hybridMultilevel"/>
    <w:tmpl w:val="68AACA8A"/>
    <w:lvl w:ilvl="0" w:tplc="9BF23A44">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27A40832"/>
    <w:multiLevelType w:val="hybridMultilevel"/>
    <w:tmpl w:val="4A007360"/>
    <w:lvl w:ilvl="0" w:tplc="4B5C78B6">
      <w:start w:val="3"/>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4D351C2"/>
    <w:multiLevelType w:val="hybridMultilevel"/>
    <w:tmpl w:val="8DB4ABAA"/>
    <w:lvl w:ilvl="0" w:tplc="DEEC7DB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5315F1C"/>
    <w:multiLevelType w:val="multilevel"/>
    <w:tmpl w:val="3ABED88C"/>
    <w:styleLink w:val="ListaLetras"/>
    <w:lvl w:ilvl="0">
      <w:start w:val="1"/>
      <w:numFmt w:val="lowerLetter"/>
      <w:lvlText w:val="%1."/>
      <w:lvlJc w:val="left"/>
      <w:pPr>
        <w:tabs>
          <w:tab w:val="num" w:pos="357"/>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Letter"/>
      <w:lvlText w:val="%3."/>
      <w:lvlJc w:val="left"/>
      <w:pPr>
        <w:tabs>
          <w:tab w:val="num" w:pos="1077"/>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15" w15:restartNumberingAfterBreak="0">
    <w:nsid w:val="368B3F54"/>
    <w:multiLevelType w:val="hybridMultilevel"/>
    <w:tmpl w:val="834A13F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788238E"/>
    <w:multiLevelType w:val="hybridMultilevel"/>
    <w:tmpl w:val="54606850"/>
    <w:lvl w:ilvl="0" w:tplc="340A0001">
      <w:start w:val="1"/>
      <w:numFmt w:val="bullet"/>
      <w:lvlText w:val=""/>
      <w:lvlJc w:val="left"/>
      <w:pPr>
        <w:ind w:left="2520" w:hanging="360"/>
      </w:pPr>
      <w:rPr>
        <w:rFonts w:ascii="Symbol" w:hAnsi="Symbol" w:hint="default"/>
      </w:rPr>
    </w:lvl>
    <w:lvl w:ilvl="1" w:tplc="340A0003" w:tentative="1">
      <w:start w:val="1"/>
      <w:numFmt w:val="bullet"/>
      <w:lvlText w:val="o"/>
      <w:lvlJc w:val="left"/>
      <w:pPr>
        <w:ind w:left="3240" w:hanging="360"/>
      </w:pPr>
      <w:rPr>
        <w:rFonts w:ascii="Courier New" w:hAnsi="Courier New" w:cs="Courier New" w:hint="default"/>
      </w:rPr>
    </w:lvl>
    <w:lvl w:ilvl="2" w:tplc="340A0005" w:tentative="1">
      <w:start w:val="1"/>
      <w:numFmt w:val="bullet"/>
      <w:lvlText w:val=""/>
      <w:lvlJc w:val="left"/>
      <w:pPr>
        <w:ind w:left="3960" w:hanging="360"/>
      </w:pPr>
      <w:rPr>
        <w:rFonts w:ascii="Wingdings" w:hAnsi="Wingdings" w:hint="default"/>
      </w:rPr>
    </w:lvl>
    <w:lvl w:ilvl="3" w:tplc="340A0001" w:tentative="1">
      <w:start w:val="1"/>
      <w:numFmt w:val="bullet"/>
      <w:lvlText w:val=""/>
      <w:lvlJc w:val="left"/>
      <w:pPr>
        <w:ind w:left="4680" w:hanging="360"/>
      </w:pPr>
      <w:rPr>
        <w:rFonts w:ascii="Symbol" w:hAnsi="Symbol" w:hint="default"/>
      </w:rPr>
    </w:lvl>
    <w:lvl w:ilvl="4" w:tplc="340A0003" w:tentative="1">
      <w:start w:val="1"/>
      <w:numFmt w:val="bullet"/>
      <w:lvlText w:val="o"/>
      <w:lvlJc w:val="left"/>
      <w:pPr>
        <w:ind w:left="5400" w:hanging="360"/>
      </w:pPr>
      <w:rPr>
        <w:rFonts w:ascii="Courier New" w:hAnsi="Courier New" w:cs="Courier New" w:hint="default"/>
      </w:rPr>
    </w:lvl>
    <w:lvl w:ilvl="5" w:tplc="340A0005" w:tentative="1">
      <w:start w:val="1"/>
      <w:numFmt w:val="bullet"/>
      <w:lvlText w:val=""/>
      <w:lvlJc w:val="left"/>
      <w:pPr>
        <w:ind w:left="6120" w:hanging="360"/>
      </w:pPr>
      <w:rPr>
        <w:rFonts w:ascii="Wingdings" w:hAnsi="Wingdings" w:hint="default"/>
      </w:rPr>
    </w:lvl>
    <w:lvl w:ilvl="6" w:tplc="340A0001" w:tentative="1">
      <w:start w:val="1"/>
      <w:numFmt w:val="bullet"/>
      <w:lvlText w:val=""/>
      <w:lvlJc w:val="left"/>
      <w:pPr>
        <w:ind w:left="6840" w:hanging="360"/>
      </w:pPr>
      <w:rPr>
        <w:rFonts w:ascii="Symbol" w:hAnsi="Symbol" w:hint="default"/>
      </w:rPr>
    </w:lvl>
    <w:lvl w:ilvl="7" w:tplc="340A0003" w:tentative="1">
      <w:start w:val="1"/>
      <w:numFmt w:val="bullet"/>
      <w:lvlText w:val="o"/>
      <w:lvlJc w:val="left"/>
      <w:pPr>
        <w:ind w:left="7560" w:hanging="360"/>
      </w:pPr>
      <w:rPr>
        <w:rFonts w:ascii="Courier New" w:hAnsi="Courier New" w:cs="Courier New" w:hint="default"/>
      </w:rPr>
    </w:lvl>
    <w:lvl w:ilvl="8" w:tplc="340A0005" w:tentative="1">
      <w:start w:val="1"/>
      <w:numFmt w:val="bullet"/>
      <w:lvlText w:val=""/>
      <w:lvlJc w:val="left"/>
      <w:pPr>
        <w:ind w:left="8280" w:hanging="360"/>
      </w:pPr>
      <w:rPr>
        <w:rFonts w:ascii="Wingdings" w:hAnsi="Wingdings" w:hint="default"/>
      </w:rPr>
    </w:lvl>
  </w:abstractNum>
  <w:abstractNum w:abstractNumId="17" w15:restartNumberingAfterBreak="0">
    <w:nsid w:val="38722DE9"/>
    <w:multiLevelType w:val="hybridMultilevel"/>
    <w:tmpl w:val="1B96B76C"/>
    <w:lvl w:ilvl="0" w:tplc="340A0017">
      <w:start w:val="1"/>
      <w:numFmt w:val="lowerLetter"/>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8" w15:restartNumberingAfterBreak="0">
    <w:nsid w:val="388503E2"/>
    <w:multiLevelType w:val="hybridMultilevel"/>
    <w:tmpl w:val="5284E20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2101D22"/>
    <w:multiLevelType w:val="hybridMultilevel"/>
    <w:tmpl w:val="B53402F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32657EE"/>
    <w:multiLevelType w:val="hybridMultilevel"/>
    <w:tmpl w:val="08F0322C"/>
    <w:lvl w:ilvl="0" w:tplc="340A0001">
      <w:start w:val="1"/>
      <w:numFmt w:val="bullet"/>
      <w:lvlText w:val=""/>
      <w:lvlJc w:val="left"/>
      <w:pPr>
        <w:ind w:left="757" w:hanging="360"/>
      </w:pPr>
      <w:rPr>
        <w:rFonts w:ascii="Symbol" w:hAnsi="Symbol" w:hint="default"/>
      </w:rPr>
    </w:lvl>
    <w:lvl w:ilvl="1" w:tplc="340A0003" w:tentative="1">
      <w:start w:val="1"/>
      <w:numFmt w:val="bullet"/>
      <w:lvlText w:val="o"/>
      <w:lvlJc w:val="left"/>
      <w:pPr>
        <w:ind w:left="1477" w:hanging="360"/>
      </w:pPr>
      <w:rPr>
        <w:rFonts w:ascii="Courier New" w:hAnsi="Courier New" w:cs="Courier New" w:hint="default"/>
      </w:rPr>
    </w:lvl>
    <w:lvl w:ilvl="2" w:tplc="340A0005" w:tentative="1">
      <w:start w:val="1"/>
      <w:numFmt w:val="bullet"/>
      <w:lvlText w:val=""/>
      <w:lvlJc w:val="left"/>
      <w:pPr>
        <w:ind w:left="2197" w:hanging="360"/>
      </w:pPr>
      <w:rPr>
        <w:rFonts w:ascii="Wingdings" w:hAnsi="Wingdings" w:hint="default"/>
      </w:rPr>
    </w:lvl>
    <w:lvl w:ilvl="3" w:tplc="340A0001" w:tentative="1">
      <w:start w:val="1"/>
      <w:numFmt w:val="bullet"/>
      <w:lvlText w:val=""/>
      <w:lvlJc w:val="left"/>
      <w:pPr>
        <w:ind w:left="2917" w:hanging="360"/>
      </w:pPr>
      <w:rPr>
        <w:rFonts w:ascii="Symbol" w:hAnsi="Symbol" w:hint="default"/>
      </w:rPr>
    </w:lvl>
    <w:lvl w:ilvl="4" w:tplc="340A0003" w:tentative="1">
      <w:start w:val="1"/>
      <w:numFmt w:val="bullet"/>
      <w:lvlText w:val="o"/>
      <w:lvlJc w:val="left"/>
      <w:pPr>
        <w:ind w:left="3637" w:hanging="360"/>
      </w:pPr>
      <w:rPr>
        <w:rFonts w:ascii="Courier New" w:hAnsi="Courier New" w:cs="Courier New" w:hint="default"/>
      </w:rPr>
    </w:lvl>
    <w:lvl w:ilvl="5" w:tplc="340A0005" w:tentative="1">
      <w:start w:val="1"/>
      <w:numFmt w:val="bullet"/>
      <w:lvlText w:val=""/>
      <w:lvlJc w:val="left"/>
      <w:pPr>
        <w:ind w:left="4357" w:hanging="360"/>
      </w:pPr>
      <w:rPr>
        <w:rFonts w:ascii="Wingdings" w:hAnsi="Wingdings" w:hint="default"/>
      </w:rPr>
    </w:lvl>
    <w:lvl w:ilvl="6" w:tplc="340A0001" w:tentative="1">
      <w:start w:val="1"/>
      <w:numFmt w:val="bullet"/>
      <w:lvlText w:val=""/>
      <w:lvlJc w:val="left"/>
      <w:pPr>
        <w:ind w:left="5077" w:hanging="360"/>
      </w:pPr>
      <w:rPr>
        <w:rFonts w:ascii="Symbol" w:hAnsi="Symbol" w:hint="default"/>
      </w:rPr>
    </w:lvl>
    <w:lvl w:ilvl="7" w:tplc="340A0003" w:tentative="1">
      <w:start w:val="1"/>
      <w:numFmt w:val="bullet"/>
      <w:lvlText w:val="o"/>
      <w:lvlJc w:val="left"/>
      <w:pPr>
        <w:ind w:left="5797" w:hanging="360"/>
      </w:pPr>
      <w:rPr>
        <w:rFonts w:ascii="Courier New" w:hAnsi="Courier New" w:cs="Courier New" w:hint="default"/>
      </w:rPr>
    </w:lvl>
    <w:lvl w:ilvl="8" w:tplc="340A0005" w:tentative="1">
      <w:start w:val="1"/>
      <w:numFmt w:val="bullet"/>
      <w:lvlText w:val=""/>
      <w:lvlJc w:val="left"/>
      <w:pPr>
        <w:ind w:left="6517" w:hanging="360"/>
      </w:pPr>
      <w:rPr>
        <w:rFonts w:ascii="Wingdings" w:hAnsi="Wingdings" w:hint="default"/>
      </w:rPr>
    </w:lvl>
  </w:abstractNum>
  <w:abstractNum w:abstractNumId="21" w15:restartNumberingAfterBreak="0">
    <w:nsid w:val="43AF44C0"/>
    <w:multiLevelType w:val="hybridMultilevel"/>
    <w:tmpl w:val="80F4B3BE"/>
    <w:lvl w:ilvl="0" w:tplc="340A0001">
      <w:start w:val="1"/>
      <w:numFmt w:val="bullet"/>
      <w:lvlText w:val=""/>
      <w:lvlJc w:val="left"/>
      <w:pPr>
        <w:ind w:left="766" w:hanging="360"/>
      </w:pPr>
      <w:rPr>
        <w:rFonts w:ascii="Symbol" w:hAnsi="Symbol" w:hint="default"/>
      </w:rPr>
    </w:lvl>
    <w:lvl w:ilvl="1" w:tplc="340A0003" w:tentative="1">
      <w:start w:val="1"/>
      <w:numFmt w:val="bullet"/>
      <w:lvlText w:val="o"/>
      <w:lvlJc w:val="left"/>
      <w:pPr>
        <w:ind w:left="1486" w:hanging="360"/>
      </w:pPr>
      <w:rPr>
        <w:rFonts w:ascii="Courier New" w:hAnsi="Courier New" w:cs="Courier New" w:hint="default"/>
      </w:rPr>
    </w:lvl>
    <w:lvl w:ilvl="2" w:tplc="340A0005" w:tentative="1">
      <w:start w:val="1"/>
      <w:numFmt w:val="bullet"/>
      <w:lvlText w:val=""/>
      <w:lvlJc w:val="left"/>
      <w:pPr>
        <w:ind w:left="2206" w:hanging="360"/>
      </w:pPr>
      <w:rPr>
        <w:rFonts w:ascii="Wingdings" w:hAnsi="Wingdings" w:hint="default"/>
      </w:rPr>
    </w:lvl>
    <w:lvl w:ilvl="3" w:tplc="340A0001" w:tentative="1">
      <w:start w:val="1"/>
      <w:numFmt w:val="bullet"/>
      <w:lvlText w:val=""/>
      <w:lvlJc w:val="left"/>
      <w:pPr>
        <w:ind w:left="2926" w:hanging="360"/>
      </w:pPr>
      <w:rPr>
        <w:rFonts w:ascii="Symbol" w:hAnsi="Symbol" w:hint="default"/>
      </w:rPr>
    </w:lvl>
    <w:lvl w:ilvl="4" w:tplc="340A0003" w:tentative="1">
      <w:start w:val="1"/>
      <w:numFmt w:val="bullet"/>
      <w:lvlText w:val="o"/>
      <w:lvlJc w:val="left"/>
      <w:pPr>
        <w:ind w:left="3646" w:hanging="360"/>
      </w:pPr>
      <w:rPr>
        <w:rFonts w:ascii="Courier New" w:hAnsi="Courier New" w:cs="Courier New" w:hint="default"/>
      </w:rPr>
    </w:lvl>
    <w:lvl w:ilvl="5" w:tplc="340A0005" w:tentative="1">
      <w:start w:val="1"/>
      <w:numFmt w:val="bullet"/>
      <w:lvlText w:val=""/>
      <w:lvlJc w:val="left"/>
      <w:pPr>
        <w:ind w:left="4366" w:hanging="360"/>
      </w:pPr>
      <w:rPr>
        <w:rFonts w:ascii="Wingdings" w:hAnsi="Wingdings" w:hint="default"/>
      </w:rPr>
    </w:lvl>
    <w:lvl w:ilvl="6" w:tplc="340A0001" w:tentative="1">
      <w:start w:val="1"/>
      <w:numFmt w:val="bullet"/>
      <w:lvlText w:val=""/>
      <w:lvlJc w:val="left"/>
      <w:pPr>
        <w:ind w:left="5086" w:hanging="360"/>
      </w:pPr>
      <w:rPr>
        <w:rFonts w:ascii="Symbol" w:hAnsi="Symbol" w:hint="default"/>
      </w:rPr>
    </w:lvl>
    <w:lvl w:ilvl="7" w:tplc="340A0003" w:tentative="1">
      <w:start w:val="1"/>
      <w:numFmt w:val="bullet"/>
      <w:lvlText w:val="o"/>
      <w:lvlJc w:val="left"/>
      <w:pPr>
        <w:ind w:left="5806" w:hanging="360"/>
      </w:pPr>
      <w:rPr>
        <w:rFonts w:ascii="Courier New" w:hAnsi="Courier New" w:cs="Courier New" w:hint="default"/>
      </w:rPr>
    </w:lvl>
    <w:lvl w:ilvl="8" w:tplc="340A0005" w:tentative="1">
      <w:start w:val="1"/>
      <w:numFmt w:val="bullet"/>
      <w:lvlText w:val=""/>
      <w:lvlJc w:val="left"/>
      <w:pPr>
        <w:ind w:left="6526" w:hanging="360"/>
      </w:pPr>
      <w:rPr>
        <w:rFonts w:ascii="Wingdings" w:hAnsi="Wingdings" w:hint="default"/>
      </w:rPr>
    </w:lvl>
  </w:abstractNum>
  <w:abstractNum w:abstractNumId="22" w15:restartNumberingAfterBreak="0">
    <w:nsid w:val="47484D9D"/>
    <w:multiLevelType w:val="hybridMultilevel"/>
    <w:tmpl w:val="7A3CE8C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B2B6E5E"/>
    <w:multiLevelType w:val="hybridMultilevel"/>
    <w:tmpl w:val="09D0C47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B8C7402"/>
    <w:multiLevelType w:val="hybridMultilevel"/>
    <w:tmpl w:val="926A7E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E420559"/>
    <w:multiLevelType w:val="hybridMultilevel"/>
    <w:tmpl w:val="900E058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2926349"/>
    <w:multiLevelType w:val="multilevel"/>
    <w:tmpl w:val="5106A63C"/>
    <w:lvl w:ilvl="0">
      <w:start w:val="1"/>
      <w:numFmt w:val="lowerLetter"/>
      <w:lvlText w:val="%1)"/>
      <w:lvlJc w:val="left"/>
      <w:pPr>
        <w:tabs>
          <w:tab w:val="num" w:pos="1420"/>
        </w:tabs>
        <w:ind w:left="1420" w:hanging="340"/>
      </w:pPr>
      <w:rPr>
        <w:rFonts w:hint="default"/>
      </w:rPr>
    </w:lvl>
    <w:lvl w:ilvl="1">
      <w:start w:val="1"/>
      <w:numFmt w:val="bullet"/>
      <w:pStyle w:val="ListadoconVieta"/>
      <w:lvlText w:val=""/>
      <w:lvlJc w:val="left"/>
      <w:pPr>
        <w:tabs>
          <w:tab w:val="num" w:pos="851"/>
        </w:tabs>
        <w:ind w:left="567" w:firstLine="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41207BA"/>
    <w:multiLevelType w:val="hybridMultilevel"/>
    <w:tmpl w:val="3C3ADEA6"/>
    <w:lvl w:ilvl="0" w:tplc="340A0001">
      <w:start w:val="1"/>
      <w:numFmt w:val="bullet"/>
      <w:lvlText w:val=""/>
      <w:lvlJc w:val="left"/>
      <w:pPr>
        <w:ind w:left="720" w:hanging="360"/>
      </w:pPr>
      <w:rPr>
        <w:rFonts w:ascii="Symbol" w:hAnsi="Symbol" w:hint="default"/>
      </w:rPr>
    </w:lvl>
    <w:lvl w:ilvl="1" w:tplc="340A0017">
      <w:start w:val="1"/>
      <w:numFmt w:val="lowerLetter"/>
      <w:lvlText w:val="%2)"/>
      <w:lvlJc w:val="lef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5EF06DB"/>
    <w:multiLevelType w:val="hybridMultilevel"/>
    <w:tmpl w:val="535EA2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66117B3"/>
    <w:multiLevelType w:val="hybridMultilevel"/>
    <w:tmpl w:val="C6BA7164"/>
    <w:lvl w:ilvl="0" w:tplc="A2D204F4">
      <w:start w:val="1"/>
      <w:numFmt w:val="decimal"/>
      <w:lvlText w:val="%1."/>
      <w:lvlJc w:val="left"/>
      <w:pPr>
        <w:ind w:left="930" w:hanging="570"/>
      </w:pPr>
      <w:rPr>
        <w:color w:val="auto"/>
      </w:r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30" w15:restartNumberingAfterBreak="0">
    <w:nsid w:val="5F940BA5"/>
    <w:multiLevelType w:val="hybridMultilevel"/>
    <w:tmpl w:val="3C1EB3B0"/>
    <w:lvl w:ilvl="0" w:tplc="E73203E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2581CBB"/>
    <w:multiLevelType w:val="hybridMultilevel"/>
    <w:tmpl w:val="A7AE6AAC"/>
    <w:lvl w:ilvl="0" w:tplc="3A647B4A">
      <w:start w:val="4"/>
      <w:numFmt w:val="bullet"/>
      <w:lvlText w:val="-"/>
      <w:lvlJc w:val="left"/>
      <w:pPr>
        <w:ind w:left="720" w:hanging="360"/>
      </w:pPr>
      <w:rPr>
        <w:rFonts w:ascii="Arial" w:eastAsia="Calibri" w:hAnsi="Arial" w:cs="Aria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32" w15:restartNumberingAfterBreak="0">
    <w:nsid w:val="62650B97"/>
    <w:multiLevelType w:val="hybridMultilevel"/>
    <w:tmpl w:val="7BFAC376"/>
    <w:lvl w:ilvl="0" w:tplc="340A0017">
      <w:start w:val="1"/>
      <w:numFmt w:val="low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33" w15:restartNumberingAfterBreak="0">
    <w:nsid w:val="631C7AE0"/>
    <w:multiLevelType w:val="hybridMultilevel"/>
    <w:tmpl w:val="EDBE21A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9466D7D"/>
    <w:multiLevelType w:val="hybridMultilevel"/>
    <w:tmpl w:val="673827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D301E33"/>
    <w:multiLevelType w:val="hybridMultilevel"/>
    <w:tmpl w:val="289C3C54"/>
    <w:lvl w:ilvl="0" w:tplc="340A0001">
      <w:start w:val="1"/>
      <w:numFmt w:val="bullet"/>
      <w:lvlText w:val=""/>
      <w:lvlJc w:val="left"/>
      <w:pPr>
        <w:ind w:left="720" w:hanging="360"/>
      </w:pPr>
      <w:rPr>
        <w:rFonts w:ascii="Symbol" w:hAnsi="Symbol" w:hint="default"/>
      </w:rPr>
    </w:lvl>
    <w:lvl w:ilvl="1" w:tplc="339A0522">
      <w:start w:val="1"/>
      <w:numFmt w:val="bullet"/>
      <w:lvlText w:val=""/>
      <w:lvlJc w:val="left"/>
      <w:pPr>
        <w:ind w:left="1440" w:hanging="360"/>
      </w:pPr>
      <w:rPr>
        <w:rFonts w:ascii="Symbol" w:hAnsi="Symbol" w:hint="default"/>
      </w:rPr>
    </w:lvl>
    <w:lvl w:ilvl="2" w:tplc="F55EAA28">
      <w:numFmt w:val="bullet"/>
      <w:lvlText w:val="-"/>
      <w:lvlJc w:val="left"/>
      <w:pPr>
        <w:ind w:left="2160" w:hanging="360"/>
      </w:pPr>
      <w:rPr>
        <w:rFonts w:ascii="DIN" w:eastAsia="Times New Roman" w:hAnsi="DIN" w:cs="Arial"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024659E"/>
    <w:multiLevelType w:val="hybridMultilevel"/>
    <w:tmpl w:val="0338D63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17B402B"/>
    <w:multiLevelType w:val="hybridMultilevel"/>
    <w:tmpl w:val="C7D600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204553F"/>
    <w:multiLevelType w:val="hybridMultilevel"/>
    <w:tmpl w:val="16562CD2"/>
    <w:lvl w:ilvl="0" w:tplc="340A0001">
      <w:start w:val="1"/>
      <w:numFmt w:val="bullet"/>
      <w:lvlText w:val=""/>
      <w:lvlJc w:val="left"/>
      <w:pPr>
        <w:ind w:left="1068" w:hanging="360"/>
      </w:pPr>
      <w:rPr>
        <w:rFonts w:ascii="Symbol" w:hAnsi="Symbol" w:hint="default"/>
      </w:rPr>
    </w:lvl>
    <w:lvl w:ilvl="1" w:tplc="340A0019">
      <w:start w:val="1"/>
      <w:numFmt w:val="lowerLetter"/>
      <w:lvlText w:val="%2."/>
      <w:lvlJc w:val="left"/>
      <w:pPr>
        <w:ind w:left="1788" w:hanging="360"/>
      </w:pPr>
    </w:lvl>
    <w:lvl w:ilvl="2" w:tplc="340A001B">
      <w:start w:val="1"/>
      <w:numFmt w:val="lowerRoman"/>
      <w:lvlText w:val="%3."/>
      <w:lvlJc w:val="right"/>
      <w:pPr>
        <w:ind w:left="2508" w:hanging="180"/>
      </w:pPr>
    </w:lvl>
    <w:lvl w:ilvl="3" w:tplc="340A000F">
      <w:start w:val="1"/>
      <w:numFmt w:val="decimal"/>
      <w:lvlText w:val="%4."/>
      <w:lvlJc w:val="left"/>
      <w:pPr>
        <w:ind w:left="3228" w:hanging="360"/>
      </w:pPr>
    </w:lvl>
    <w:lvl w:ilvl="4" w:tplc="340A0019">
      <w:start w:val="1"/>
      <w:numFmt w:val="lowerLetter"/>
      <w:lvlText w:val="%5."/>
      <w:lvlJc w:val="left"/>
      <w:pPr>
        <w:ind w:left="3948" w:hanging="360"/>
      </w:pPr>
    </w:lvl>
    <w:lvl w:ilvl="5" w:tplc="340A001B">
      <w:start w:val="1"/>
      <w:numFmt w:val="lowerRoman"/>
      <w:lvlText w:val="%6."/>
      <w:lvlJc w:val="right"/>
      <w:pPr>
        <w:ind w:left="4668" w:hanging="180"/>
      </w:pPr>
    </w:lvl>
    <w:lvl w:ilvl="6" w:tplc="340A000F">
      <w:start w:val="1"/>
      <w:numFmt w:val="decimal"/>
      <w:lvlText w:val="%7."/>
      <w:lvlJc w:val="left"/>
      <w:pPr>
        <w:ind w:left="5388" w:hanging="360"/>
      </w:pPr>
    </w:lvl>
    <w:lvl w:ilvl="7" w:tplc="340A0019">
      <w:start w:val="1"/>
      <w:numFmt w:val="lowerLetter"/>
      <w:lvlText w:val="%8."/>
      <w:lvlJc w:val="left"/>
      <w:pPr>
        <w:ind w:left="6108" w:hanging="360"/>
      </w:pPr>
    </w:lvl>
    <w:lvl w:ilvl="8" w:tplc="340A001B">
      <w:start w:val="1"/>
      <w:numFmt w:val="lowerRoman"/>
      <w:lvlText w:val="%9."/>
      <w:lvlJc w:val="right"/>
      <w:pPr>
        <w:ind w:left="6828" w:hanging="180"/>
      </w:pPr>
    </w:lvl>
  </w:abstractNum>
  <w:abstractNum w:abstractNumId="39" w15:restartNumberingAfterBreak="0">
    <w:nsid w:val="74023B05"/>
    <w:multiLevelType w:val="hybridMultilevel"/>
    <w:tmpl w:val="D828ED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75CE4395"/>
    <w:multiLevelType w:val="hybridMultilevel"/>
    <w:tmpl w:val="CDEEAF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CC31E64"/>
    <w:multiLevelType w:val="hybridMultilevel"/>
    <w:tmpl w:val="3FAC36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6"/>
    <w:lvlOverride w:ilvl="0">
      <w:startOverride w:val="1"/>
    </w:lvlOverride>
  </w:num>
  <w:num w:numId="4">
    <w:abstractNumId w:val="4"/>
  </w:num>
  <w:num w:numId="5">
    <w:abstractNumId w:val="14"/>
  </w:num>
  <w:num w:numId="6">
    <w:abstractNumId w:val="29"/>
  </w:num>
  <w:num w:numId="7">
    <w:abstractNumId w:val="21"/>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0"/>
  </w:num>
  <w:num w:numId="11">
    <w:abstractNumId w:val="6"/>
  </w:num>
  <w:num w:numId="12">
    <w:abstractNumId w:val="6"/>
  </w:num>
  <w:num w:numId="13">
    <w:abstractNumId w:val="1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8"/>
  </w:num>
  <w:num w:numId="17">
    <w:abstractNumId w:val="31"/>
  </w:num>
  <w:num w:numId="18">
    <w:abstractNumId w:val="17"/>
  </w:num>
  <w:num w:numId="19">
    <w:abstractNumId w:val="19"/>
  </w:num>
  <w:num w:numId="20">
    <w:abstractNumId w:val="23"/>
  </w:num>
  <w:num w:numId="21">
    <w:abstractNumId w:val="1"/>
  </w:num>
  <w:num w:numId="22">
    <w:abstractNumId w:val="32"/>
  </w:num>
  <w:num w:numId="23">
    <w:abstractNumId w:val="36"/>
  </w:num>
  <w:num w:numId="24">
    <w:abstractNumId w:val="3"/>
  </w:num>
  <w:num w:numId="25">
    <w:abstractNumId w:val="41"/>
  </w:num>
  <w:num w:numId="26">
    <w:abstractNumId w:val="39"/>
  </w:num>
  <w:num w:numId="27">
    <w:abstractNumId w:val="0"/>
  </w:num>
  <w:num w:numId="28">
    <w:abstractNumId w:val="26"/>
  </w:num>
  <w:num w:numId="29">
    <w:abstractNumId w:val="37"/>
  </w:num>
  <w:num w:numId="30">
    <w:abstractNumId w:val="15"/>
  </w:num>
  <w:num w:numId="31">
    <w:abstractNumId w:val="2"/>
  </w:num>
  <w:num w:numId="32">
    <w:abstractNumId w:val="35"/>
  </w:num>
  <w:num w:numId="33">
    <w:abstractNumId w:val="5"/>
  </w:num>
  <w:num w:numId="34">
    <w:abstractNumId w:val="30"/>
  </w:num>
  <w:num w:numId="35">
    <w:abstractNumId w:val="25"/>
  </w:num>
  <w:num w:numId="36">
    <w:abstractNumId w:val="8"/>
  </w:num>
  <w:num w:numId="37">
    <w:abstractNumId w:val="34"/>
  </w:num>
  <w:num w:numId="38">
    <w:abstractNumId w:val="20"/>
  </w:num>
  <w:num w:numId="39">
    <w:abstractNumId w:val="18"/>
  </w:num>
  <w:num w:numId="40">
    <w:abstractNumId w:val="27"/>
  </w:num>
  <w:num w:numId="41">
    <w:abstractNumId w:val="12"/>
  </w:num>
  <w:num w:numId="42">
    <w:abstractNumId w:val="11"/>
  </w:num>
  <w:num w:numId="43">
    <w:abstractNumId w:val="24"/>
  </w:num>
  <w:num w:numId="44">
    <w:abstractNumId w:val="13"/>
  </w:num>
  <w:num w:numId="45">
    <w:abstractNumId w:val="7"/>
  </w:num>
  <w:num w:numId="46">
    <w:abstractNumId w:val="16"/>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292"/>
    <w:rsid w:val="000002DD"/>
    <w:rsid w:val="00004B2D"/>
    <w:rsid w:val="000058D8"/>
    <w:rsid w:val="0000771D"/>
    <w:rsid w:val="00007E51"/>
    <w:rsid w:val="0001380B"/>
    <w:rsid w:val="000149CA"/>
    <w:rsid w:val="000163F3"/>
    <w:rsid w:val="00016D28"/>
    <w:rsid w:val="000173D6"/>
    <w:rsid w:val="00017B7D"/>
    <w:rsid w:val="000210A6"/>
    <w:rsid w:val="000212EA"/>
    <w:rsid w:val="0002290E"/>
    <w:rsid w:val="00022A47"/>
    <w:rsid w:val="00027011"/>
    <w:rsid w:val="0003168F"/>
    <w:rsid w:val="00034079"/>
    <w:rsid w:val="00034251"/>
    <w:rsid w:val="0003494D"/>
    <w:rsid w:val="00043289"/>
    <w:rsid w:val="000432F7"/>
    <w:rsid w:val="00047A31"/>
    <w:rsid w:val="000517B3"/>
    <w:rsid w:val="00052C45"/>
    <w:rsid w:val="0005331D"/>
    <w:rsid w:val="000540F6"/>
    <w:rsid w:val="00054689"/>
    <w:rsid w:val="00054BFF"/>
    <w:rsid w:val="00060AB7"/>
    <w:rsid w:val="000619D2"/>
    <w:rsid w:val="00064884"/>
    <w:rsid w:val="000659A8"/>
    <w:rsid w:val="000679C7"/>
    <w:rsid w:val="00067AB2"/>
    <w:rsid w:val="00067DAE"/>
    <w:rsid w:val="000700E4"/>
    <w:rsid w:val="00072A24"/>
    <w:rsid w:val="00072C35"/>
    <w:rsid w:val="00073D84"/>
    <w:rsid w:val="0007782B"/>
    <w:rsid w:val="000779D5"/>
    <w:rsid w:val="00081AD9"/>
    <w:rsid w:val="00081EA7"/>
    <w:rsid w:val="0008265E"/>
    <w:rsid w:val="00084B29"/>
    <w:rsid w:val="0008562C"/>
    <w:rsid w:val="00085E8D"/>
    <w:rsid w:val="000865AE"/>
    <w:rsid w:val="00090063"/>
    <w:rsid w:val="000902D2"/>
    <w:rsid w:val="00094E0A"/>
    <w:rsid w:val="0009641B"/>
    <w:rsid w:val="00097FD1"/>
    <w:rsid w:val="000A3AB6"/>
    <w:rsid w:val="000A46BF"/>
    <w:rsid w:val="000B2E6F"/>
    <w:rsid w:val="000B7937"/>
    <w:rsid w:val="000C0DB1"/>
    <w:rsid w:val="000C4C10"/>
    <w:rsid w:val="000C4FD8"/>
    <w:rsid w:val="000C66BD"/>
    <w:rsid w:val="000D330D"/>
    <w:rsid w:val="000D6F0A"/>
    <w:rsid w:val="000E1805"/>
    <w:rsid w:val="000E1E97"/>
    <w:rsid w:val="000E2024"/>
    <w:rsid w:val="000E3A0B"/>
    <w:rsid w:val="000F018E"/>
    <w:rsid w:val="000F465B"/>
    <w:rsid w:val="000F6672"/>
    <w:rsid w:val="00103AF3"/>
    <w:rsid w:val="00103BE1"/>
    <w:rsid w:val="001059FA"/>
    <w:rsid w:val="00111491"/>
    <w:rsid w:val="00114977"/>
    <w:rsid w:val="00114AE8"/>
    <w:rsid w:val="0011643E"/>
    <w:rsid w:val="00117B81"/>
    <w:rsid w:val="00121BFA"/>
    <w:rsid w:val="00123B46"/>
    <w:rsid w:val="00130480"/>
    <w:rsid w:val="0013085A"/>
    <w:rsid w:val="001311E4"/>
    <w:rsid w:val="00131D7D"/>
    <w:rsid w:val="001333C1"/>
    <w:rsid w:val="00134DCA"/>
    <w:rsid w:val="0014095A"/>
    <w:rsid w:val="00140CF3"/>
    <w:rsid w:val="0014141D"/>
    <w:rsid w:val="00143F7D"/>
    <w:rsid w:val="00145DD1"/>
    <w:rsid w:val="00146533"/>
    <w:rsid w:val="00153512"/>
    <w:rsid w:val="0015516B"/>
    <w:rsid w:val="00164C10"/>
    <w:rsid w:val="0017274C"/>
    <w:rsid w:val="001735D8"/>
    <w:rsid w:val="00182E49"/>
    <w:rsid w:val="00183D25"/>
    <w:rsid w:val="00186C48"/>
    <w:rsid w:val="001876C6"/>
    <w:rsid w:val="0019071C"/>
    <w:rsid w:val="001927A5"/>
    <w:rsid w:val="001932EC"/>
    <w:rsid w:val="001933DB"/>
    <w:rsid w:val="001944E0"/>
    <w:rsid w:val="00197B69"/>
    <w:rsid w:val="001A0DB0"/>
    <w:rsid w:val="001A1A90"/>
    <w:rsid w:val="001A4F8A"/>
    <w:rsid w:val="001A5642"/>
    <w:rsid w:val="001A7D0D"/>
    <w:rsid w:val="001B306A"/>
    <w:rsid w:val="001B31BD"/>
    <w:rsid w:val="001B4F95"/>
    <w:rsid w:val="001B65C8"/>
    <w:rsid w:val="001C0847"/>
    <w:rsid w:val="001C0A98"/>
    <w:rsid w:val="001C602B"/>
    <w:rsid w:val="001C780B"/>
    <w:rsid w:val="001D018B"/>
    <w:rsid w:val="001D2021"/>
    <w:rsid w:val="001D37F2"/>
    <w:rsid w:val="001D3D8F"/>
    <w:rsid w:val="001D454F"/>
    <w:rsid w:val="001D6BEB"/>
    <w:rsid w:val="001E4BA7"/>
    <w:rsid w:val="001E4D60"/>
    <w:rsid w:val="001E525D"/>
    <w:rsid w:val="001E54A9"/>
    <w:rsid w:val="001F1FFB"/>
    <w:rsid w:val="001F3A9E"/>
    <w:rsid w:val="00201AB9"/>
    <w:rsid w:val="00210B25"/>
    <w:rsid w:val="00210F11"/>
    <w:rsid w:val="0021774D"/>
    <w:rsid w:val="00217F2B"/>
    <w:rsid w:val="00221D5C"/>
    <w:rsid w:val="002245F1"/>
    <w:rsid w:val="00226A57"/>
    <w:rsid w:val="0022712F"/>
    <w:rsid w:val="00233533"/>
    <w:rsid w:val="0023614D"/>
    <w:rsid w:val="00240254"/>
    <w:rsid w:val="00241635"/>
    <w:rsid w:val="0024561E"/>
    <w:rsid w:val="00247252"/>
    <w:rsid w:val="002509C1"/>
    <w:rsid w:val="002511DB"/>
    <w:rsid w:val="00256090"/>
    <w:rsid w:val="00262A39"/>
    <w:rsid w:val="00265062"/>
    <w:rsid w:val="00270D60"/>
    <w:rsid w:val="00271652"/>
    <w:rsid w:val="002717FC"/>
    <w:rsid w:val="00271B16"/>
    <w:rsid w:val="00272574"/>
    <w:rsid w:val="00272C0E"/>
    <w:rsid w:val="0027376A"/>
    <w:rsid w:val="00274CC0"/>
    <w:rsid w:val="0027537E"/>
    <w:rsid w:val="00275F66"/>
    <w:rsid w:val="00281139"/>
    <w:rsid w:val="002835C1"/>
    <w:rsid w:val="00283A18"/>
    <w:rsid w:val="00283D9F"/>
    <w:rsid w:val="00284558"/>
    <w:rsid w:val="00284872"/>
    <w:rsid w:val="0029320B"/>
    <w:rsid w:val="00296A80"/>
    <w:rsid w:val="00296EEF"/>
    <w:rsid w:val="002A11AB"/>
    <w:rsid w:val="002A29A5"/>
    <w:rsid w:val="002A51D0"/>
    <w:rsid w:val="002A620D"/>
    <w:rsid w:val="002A7D38"/>
    <w:rsid w:val="002B6CBC"/>
    <w:rsid w:val="002B7A7B"/>
    <w:rsid w:val="002C173D"/>
    <w:rsid w:val="002C3C11"/>
    <w:rsid w:val="002C6518"/>
    <w:rsid w:val="002C75F8"/>
    <w:rsid w:val="002D1348"/>
    <w:rsid w:val="002D5035"/>
    <w:rsid w:val="002D6A52"/>
    <w:rsid w:val="002E0B13"/>
    <w:rsid w:val="002E0CE4"/>
    <w:rsid w:val="002E3065"/>
    <w:rsid w:val="002E314F"/>
    <w:rsid w:val="002E5942"/>
    <w:rsid w:val="002E5D66"/>
    <w:rsid w:val="002E6967"/>
    <w:rsid w:val="002E6FE6"/>
    <w:rsid w:val="002F0B50"/>
    <w:rsid w:val="002F3268"/>
    <w:rsid w:val="002F3B07"/>
    <w:rsid w:val="002F3F0A"/>
    <w:rsid w:val="002F5BB5"/>
    <w:rsid w:val="002F6F70"/>
    <w:rsid w:val="00300E5F"/>
    <w:rsid w:val="003016B6"/>
    <w:rsid w:val="0030237F"/>
    <w:rsid w:val="00306E31"/>
    <w:rsid w:val="00310F6F"/>
    <w:rsid w:val="00313C3F"/>
    <w:rsid w:val="0031623A"/>
    <w:rsid w:val="0032712D"/>
    <w:rsid w:val="003365B0"/>
    <w:rsid w:val="00336C1F"/>
    <w:rsid w:val="003408CD"/>
    <w:rsid w:val="00341CE5"/>
    <w:rsid w:val="003429BE"/>
    <w:rsid w:val="00342FD9"/>
    <w:rsid w:val="0034394D"/>
    <w:rsid w:val="00343F09"/>
    <w:rsid w:val="00347469"/>
    <w:rsid w:val="003522D1"/>
    <w:rsid w:val="0035230E"/>
    <w:rsid w:val="00354E98"/>
    <w:rsid w:val="003555D3"/>
    <w:rsid w:val="00360611"/>
    <w:rsid w:val="003671DE"/>
    <w:rsid w:val="003671E0"/>
    <w:rsid w:val="0036786B"/>
    <w:rsid w:val="00371597"/>
    <w:rsid w:val="00375675"/>
    <w:rsid w:val="00375A80"/>
    <w:rsid w:val="00383D0E"/>
    <w:rsid w:val="00391702"/>
    <w:rsid w:val="003924AD"/>
    <w:rsid w:val="003A06F5"/>
    <w:rsid w:val="003A3A03"/>
    <w:rsid w:val="003A69C2"/>
    <w:rsid w:val="003A6C46"/>
    <w:rsid w:val="003B2A90"/>
    <w:rsid w:val="003B5B0B"/>
    <w:rsid w:val="003B679B"/>
    <w:rsid w:val="003B69B5"/>
    <w:rsid w:val="003B7ADD"/>
    <w:rsid w:val="003C00FB"/>
    <w:rsid w:val="003C2367"/>
    <w:rsid w:val="003C2CE0"/>
    <w:rsid w:val="003C2F30"/>
    <w:rsid w:val="003C6EA4"/>
    <w:rsid w:val="003C7E71"/>
    <w:rsid w:val="003C7FAE"/>
    <w:rsid w:val="003D0270"/>
    <w:rsid w:val="003D1611"/>
    <w:rsid w:val="003D2AAB"/>
    <w:rsid w:val="003D3312"/>
    <w:rsid w:val="003D44C5"/>
    <w:rsid w:val="003D493A"/>
    <w:rsid w:val="003D537F"/>
    <w:rsid w:val="003E0944"/>
    <w:rsid w:val="003F016C"/>
    <w:rsid w:val="003F26C4"/>
    <w:rsid w:val="003F31EE"/>
    <w:rsid w:val="003F346A"/>
    <w:rsid w:val="003F3561"/>
    <w:rsid w:val="00401D2D"/>
    <w:rsid w:val="00403C27"/>
    <w:rsid w:val="0040690F"/>
    <w:rsid w:val="00413967"/>
    <w:rsid w:val="00414523"/>
    <w:rsid w:val="00414D5E"/>
    <w:rsid w:val="004156CA"/>
    <w:rsid w:val="00420303"/>
    <w:rsid w:val="00420978"/>
    <w:rsid w:val="00422BA1"/>
    <w:rsid w:val="00423486"/>
    <w:rsid w:val="0042531A"/>
    <w:rsid w:val="00431F2A"/>
    <w:rsid w:val="00433258"/>
    <w:rsid w:val="00435740"/>
    <w:rsid w:val="0043748A"/>
    <w:rsid w:val="00437CF3"/>
    <w:rsid w:val="004443AF"/>
    <w:rsid w:val="00444A24"/>
    <w:rsid w:val="00444AD7"/>
    <w:rsid w:val="00444C2D"/>
    <w:rsid w:val="00447C0C"/>
    <w:rsid w:val="004514A3"/>
    <w:rsid w:val="00451E2C"/>
    <w:rsid w:val="00455F41"/>
    <w:rsid w:val="00456427"/>
    <w:rsid w:val="00457549"/>
    <w:rsid w:val="004576A1"/>
    <w:rsid w:val="00460316"/>
    <w:rsid w:val="00472715"/>
    <w:rsid w:val="00474997"/>
    <w:rsid w:val="00477922"/>
    <w:rsid w:val="004817CE"/>
    <w:rsid w:val="00481E0E"/>
    <w:rsid w:val="00481E56"/>
    <w:rsid w:val="0048200B"/>
    <w:rsid w:val="00483940"/>
    <w:rsid w:val="004853B9"/>
    <w:rsid w:val="00487303"/>
    <w:rsid w:val="00487625"/>
    <w:rsid w:val="0048762A"/>
    <w:rsid w:val="00491686"/>
    <w:rsid w:val="00494407"/>
    <w:rsid w:val="00495F3F"/>
    <w:rsid w:val="004A4701"/>
    <w:rsid w:val="004A486F"/>
    <w:rsid w:val="004A7292"/>
    <w:rsid w:val="004B1871"/>
    <w:rsid w:val="004B1B79"/>
    <w:rsid w:val="004B37C2"/>
    <w:rsid w:val="004B74EE"/>
    <w:rsid w:val="004B7A7B"/>
    <w:rsid w:val="004B7ACE"/>
    <w:rsid w:val="004C4FE0"/>
    <w:rsid w:val="004C54A4"/>
    <w:rsid w:val="004C6BB9"/>
    <w:rsid w:val="004C7473"/>
    <w:rsid w:val="004D5240"/>
    <w:rsid w:val="004D55CA"/>
    <w:rsid w:val="004D6515"/>
    <w:rsid w:val="004D6C79"/>
    <w:rsid w:val="004D7C9C"/>
    <w:rsid w:val="004E4CB2"/>
    <w:rsid w:val="004E4D48"/>
    <w:rsid w:val="004E4E82"/>
    <w:rsid w:val="004E562F"/>
    <w:rsid w:val="004F0954"/>
    <w:rsid w:val="004F115B"/>
    <w:rsid w:val="004F21CF"/>
    <w:rsid w:val="004F5B0D"/>
    <w:rsid w:val="004F79DB"/>
    <w:rsid w:val="00501375"/>
    <w:rsid w:val="00503623"/>
    <w:rsid w:val="005038CE"/>
    <w:rsid w:val="005045D8"/>
    <w:rsid w:val="00505BB2"/>
    <w:rsid w:val="00505C56"/>
    <w:rsid w:val="0050780E"/>
    <w:rsid w:val="00507BDA"/>
    <w:rsid w:val="0051001D"/>
    <w:rsid w:val="005103B8"/>
    <w:rsid w:val="0051051D"/>
    <w:rsid w:val="00511B32"/>
    <w:rsid w:val="00515305"/>
    <w:rsid w:val="00516719"/>
    <w:rsid w:val="00527F2B"/>
    <w:rsid w:val="00530D51"/>
    <w:rsid w:val="00532124"/>
    <w:rsid w:val="005321D4"/>
    <w:rsid w:val="005338E2"/>
    <w:rsid w:val="00534D2F"/>
    <w:rsid w:val="00537FFE"/>
    <w:rsid w:val="00540481"/>
    <w:rsid w:val="00540568"/>
    <w:rsid w:val="00543BC5"/>
    <w:rsid w:val="0054535B"/>
    <w:rsid w:val="00545EC4"/>
    <w:rsid w:val="00547EDC"/>
    <w:rsid w:val="005503B8"/>
    <w:rsid w:val="00551709"/>
    <w:rsid w:val="00552749"/>
    <w:rsid w:val="00552F8C"/>
    <w:rsid w:val="00562942"/>
    <w:rsid w:val="005647D0"/>
    <w:rsid w:val="00565A9B"/>
    <w:rsid w:val="00566143"/>
    <w:rsid w:val="00566D03"/>
    <w:rsid w:val="00574055"/>
    <w:rsid w:val="005767D7"/>
    <w:rsid w:val="005818CF"/>
    <w:rsid w:val="0058200B"/>
    <w:rsid w:val="00584A28"/>
    <w:rsid w:val="00585E33"/>
    <w:rsid w:val="005865AC"/>
    <w:rsid w:val="0059338D"/>
    <w:rsid w:val="00594FF0"/>
    <w:rsid w:val="005967A1"/>
    <w:rsid w:val="00596862"/>
    <w:rsid w:val="00597923"/>
    <w:rsid w:val="005A355B"/>
    <w:rsid w:val="005A5148"/>
    <w:rsid w:val="005A6A9F"/>
    <w:rsid w:val="005A6F41"/>
    <w:rsid w:val="005A7DC3"/>
    <w:rsid w:val="005B3059"/>
    <w:rsid w:val="005B3747"/>
    <w:rsid w:val="005B67F5"/>
    <w:rsid w:val="005B7C79"/>
    <w:rsid w:val="005C0E26"/>
    <w:rsid w:val="005C1523"/>
    <w:rsid w:val="005C19D0"/>
    <w:rsid w:val="005C33BA"/>
    <w:rsid w:val="005C3FA9"/>
    <w:rsid w:val="005C545B"/>
    <w:rsid w:val="005C59E8"/>
    <w:rsid w:val="005C5E28"/>
    <w:rsid w:val="005C7E1A"/>
    <w:rsid w:val="005D36C8"/>
    <w:rsid w:val="005D4610"/>
    <w:rsid w:val="005D7AC5"/>
    <w:rsid w:val="005D7ACB"/>
    <w:rsid w:val="005E358E"/>
    <w:rsid w:val="005E3645"/>
    <w:rsid w:val="005E3E0C"/>
    <w:rsid w:val="005E4E74"/>
    <w:rsid w:val="005E7A4B"/>
    <w:rsid w:val="005F000C"/>
    <w:rsid w:val="005F2403"/>
    <w:rsid w:val="005F420C"/>
    <w:rsid w:val="005F5E18"/>
    <w:rsid w:val="005F68D9"/>
    <w:rsid w:val="005F6E6B"/>
    <w:rsid w:val="00601CC7"/>
    <w:rsid w:val="0060233A"/>
    <w:rsid w:val="00603788"/>
    <w:rsid w:val="00605F71"/>
    <w:rsid w:val="00606611"/>
    <w:rsid w:val="0061435F"/>
    <w:rsid w:val="00614E6D"/>
    <w:rsid w:val="00615CBD"/>
    <w:rsid w:val="00617497"/>
    <w:rsid w:val="00623B2C"/>
    <w:rsid w:val="006252BA"/>
    <w:rsid w:val="006321B2"/>
    <w:rsid w:val="00633499"/>
    <w:rsid w:val="00633846"/>
    <w:rsid w:val="00633D15"/>
    <w:rsid w:val="006358E9"/>
    <w:rsid w:val="0063659B"/>
    <w:rsid w:val="00640183"/>
    <w:rsid w:val="0064088E"/>
    <w:rsid w:val="006428A2"/>
    <w:rsid w:val="006432EE"/>
    <w:rsid w:val="00643A30"/>
    <w:rsid w:val="00644F31"/>
    <w:rsid w:val="00646F13"/>
    <w:rsid w:val="00647B74"/>
    <w:rsid w:val="00650106"/>
    <w:rsid w:val="006502D5"/>
    <w:rsid w:val="00652B59"/>
    <w:rsid w:val="00653682"/>
    <w:rsid w:val="0065445A"/>
    <w:rsid w:val="00655ACE"/>
    <w:rsid w:val="00656059"/>
    <w:rsid w:val="006563A1"/>
    <w:rsid w:val="00663495"/>
    <w:rsid w:val="006650DC"/>
    <w:rsid w:val="00665E44"/>
    <w:rsid w:val="00666749"/>
    <w:rsid w:val="0067009F"/>
    <w:rsid w:val="00674915"/>
    <w:rsid w:val="00675F73"/>
    <w:rsid w:val="00676402"/>
    <w:rsid w:val="00684411"/>
    <w:rsid w:val="00685482"/>
    <w:rsid w:val="0068603F"/>
    <w:rsid w:val="00686266"/>
    <w:rsid w:val="0069018E"/>
    <w:rsid w:val="006902CB"/>
    <w:rsid w:val="006903B7"/>
    <w:rsid w:val="00690A22"/>
    <w:rsid w:val="00690E28"/>
    <w:rsid w:val="00692C00"/>
    <w:rsid w:val="0069422B"/>
    <w:rsid w:val="0069585F"/>
    <w:rsid w:val="006968E6"/>
    <w:rsid w:val="006A2482"/>
    <w:rsid w:val="006A2B53"/>
    <w:rsid w:val="006A66EA"/>
    <w:rsid w:val="006B410A"/>
    <w:rsid w:val="006B5BA7"/>
    <w:rsid w:val="006C2D3D"/>
    <w:rsid w:val="006C5654"/>
    <w:rsid w:val="006C6C6D"/>
    <w:rsid w:val="006D2AF5"/>
    <w:rsid w:val="006D2FB5"/>
    <w:rsid w:val="006D3C08"/>
    <w:rsid w:val="006D7EAC"/>
    <w:rsid w:val="006E26DF"/>
    <w:rsid w:val="006E35BF"/>
    <w:rsid w:val="006E4BD4"/>
    <w:rsid w:val="006E70E0"/>
    <w:rsid w:val="006F064F"/>
    <w:rsid w:val="006F0746"/>
    <w:rsid w:val="006F6320"/>
    <w:rsid w:val="006F6B0E"/>
    <w:rsid w:val="00705173"/>
    <w:rsid w:val="0072068D"/>
    <w:rsid w:val="00720BE3"/>
    <w:rsid w:val="00721F54"/>
    <w:rsid w:val="00723796"/>
    <w:rsid w:val="00725431"/>
    <w:rsid w:val="00726DCF"/>
    <w:rsid w:val="00732526"/>
    <w:rsid w:val="00732B12"/>
    <w:rsid w:val="00732F0D"/>
    <w:rsid w:val="007330CF"/>
    <w:rsid w:val="0073540F"/>
    <w:rsid w:val="00736288"/>
    <w:rsid w:val="00740322"/>
    <w:rsid w:val="007501CF"/>
    <w:rsid w:val="00750B45"/>
    <w:rsid w:val="00750C34"/>
    <w:rsid w:val="007512CF"/>
    <w:rsid w:val="00754A45"/>
    <w:rsid w:val="0075634C"/>
    <w:rsid w:val="00760824"/>
    <w:rsid w:val="00761FC9"/>
    <w:rsid w:val="007624BB"/>
    <w:rsid w:val="00765604"/>
    <w:rsid w:val="00766FF0"/>
    <w:rsid w:val="00767912"/>
    <w:rsid w:val="0077180E"/>
    <w:rsid w:val="0077222B"/>
    <w:rsid w:val="00772668"/>
    <w:rsid w:val="00783964"/>
    <w:rsid w:val="00785F16"/>
    <w:rsid w:val="007911CE"/>
    <w:rsid w:val="00793557"/>
    <w:rsid w:val="00793601"/>
    <w:rsid w:val="00794017"/>
    <w:rsid w:val="00796B55"/>
    <w:rsid w:val="00797C51"/>
    <w:rsid w:val="007A09C7"/>
    <w:rsid w:val="007A4CD6"/>
    <w:rsid w:val="007B2B3F"/>
    <w:rsid w:val="007B52F2"/>
    <w:rsid w:val="007C1323"/>
    <w:rsid w:val="007C1F6B"/>
    <w:rsid w:val="007C471D"/>
    <w:rsid w:val="007C4754"/>
    <w:rsid w:val="007C5ED9"/>
    <w:rsid w:val="007D206D"/>
    <w:rsid w:val="007D51BD"/>
    <w:rsid w:val="007D6509"/>
    <w:rsid w:val="007D6A84"/>
    <w:rsid w:val="007D6E4A"/>
    <w:rsid w:val="007E1945"/>
    <w:rsid w:val="007E235D"/>
    <w:rsid w:val="007E30A7"/>
    <w:rsid w:val="007E6B80"/>
    <w:rsid w:val="007E6C25"/>
    <w:rsid w:val="007E71CF"/>
    <w:rsid w:val="007F0080"/>
    <w:rsid w:val="007F11AE"/>
    <w:rsid w:val="007F3982"/>
    <w:rsid w:val="007F604F"/>
    <w:rsid w:val="00802B8D"/>
    <w:rsid w:val="00802FFE"/>
    <w:rsid w:val="00803652"/>
    <w:rsid w:val="00804237"/>
    <w:rsid w:val="0080610D"/>
    <w:rsid w:val="00806F29"/>
    <w:rsid w:val="00812106"/>
    <w:rsid w:val="00812CB1"/>
    <w:rsid w:val="00815815"/>
    <w:rsid w:val="00817E16"/>
    <w:rsid w:val="008210DD"/>
    <w:rsid w:val="00823805"/>
    <w:rsid w:val="00823DF2"/>
    <w:rsid w:val="0082485E"/>
    <w:rsid w:val="008254F2"/>
    <w:rsid w:val="008255B5"/>
    <w:rsid w:val="008262CC"/>
    <w:rsid w:val="00830F32"/>
    <w:rsid w:val="008329B0"/>
    <w:rsid w:val="00832AAE"/>
    <w:rsid w:val="00836831"/>
    <w:rsid w:val="0084067E"/>
    <w:rsid w:val="00843563"/>
    <w:rsid w:val="00845992"/>
    <w:rsid w:val="00846CD8"/>
    <w:rsid w:val="00847355"/>
    <w:rsid w:val="0084746A"/>
    <w:rsid w:val="008508D8"/>
    <w:rsid w:val="0085270B"/>
    <w:rsid w:val="00853390"/>
    <w:rsid w:val="00861F05"/>
    <w:rsid w:val="00863943"/>
    <w:rsid w:val="008650C1"/>
    <w:rsid w:val="0086654B"/>
    <w:rsid w:val="00867879"/>
    <w:rsid w:val="008718C5"/>
    <w:rsid w:val="00872ADD"/>
    <w:rsid w:val="0087440E"/>
    <w:rsid w:val="008764BD"/>
    <w:rsid w:val="00881E2C"/>
    <w:rsid w:val="008861DA"/>
    <w:rsid w:val="008913D4"/>
    <w:rsid w:val="00895A47"/>
    <w:rsid w:val="008A0E26"/>
    <w:rsid w:val="008A3C0A"/>
    <w:rsid w:val="008A5620"/>
    <w:rsid w:val="008A5952"/>
    <w:rsid w:val="008A77A5"/>
    <w:rsid w:val="008B0057"/>
    <w:rsid w:val="008B0BA0"/>
    <w:rsid w:val="008B67DD"/>
    <w:rsid w:val="008C1BBB"/>
    <w:rsid w:val="008C33F6"/>
    <w:rsid w:val="008C4A00"/>
    <w:rsid w:val="008C53BB"/>
    <w:rsid w:val="008D0D08"/>
    <w:rsid w:val="008D45EB"/>
    <w:rsid w:val="008E3921"/>
    <w:rsid w:val="008E732C"/>
    <w:rsid w:val="008F0D06"/>
    <w:rsid w:val="008F0E1A"/>
    <w:rsid w:val="008F3789"/>
    <w:rsid w:val="008F3EE7"/>
    <w:rsid w:val="008F5A80"/>
    <w:rsid w:val="008F631E"/>
    <w:rsid w:val="00901F38"/>
    <w:rsid w:val="009049C3"/>
    <w:rsid w:val="00905064"/>
    <w:rsid w:val="0090699B"/>
    <w:rsid w:val="00912B54"/>
    <w:rsid w:val="009165F0"/>
    <w:rsid w:val="009178DC"/>
    <w:rsid w:val="009206A5"/>
    <w:rsid w:val="009223AA"/>
    <w:rsid w:val="009233CF"/>
    <w:rsid w:val="009246BD"/>
    <w:rsid w:val="00926F17"/>
    <w:rsid w:val="0093118A"/>
    <w:rsid w:val="009351FF"/>
    <w:rsid w:val="00937076"/>
    <w:rsid w:val="00944437"/>
    <w:rsid w:val="00944E5B"/>
    <w:rsid w:val="00944F10"/>
    <w:rsid w:val="00945036"/>
    <w:rsid w:val="009462B5"/>
    <w:rsid w:val="00947137"/>
    <w:rsid w:val="00953B22"/>
    <w:rsid w:val="00956A29"/>
    <w:rsid w:val="00961F68"/>
    <w:rsid w:val="00962761"/>
    <w:rsid w:val="00965146"/>
    <w:rsid w:val="00965273"/>
    <w:rsid w:val="00973CA8"/>
    <w:rsid w:val="00974B9C"/>
    <w:rsid w:val="00976755"/>
    <w:rsid w:val="00977CD4"/>
    <w:rsid w:val="00980310"/>
    <w:rsid w:val="0098037E"/>
    <w:rsid w:val="00990C3E"/>
    <w:rsid w:val="00992900"/>
    <w:rsid w:val="009957AE"/>
    <w:rsid w:val="009970C6"/>
    <w:rsid w:val="009A1444"/>
    <w:rsid w:val="009A4762"/>
    <w:rsid w:val="009A51E6"/>
    <w:rsid w:val="009B2FF4"/>
    <w:rsid w:val="009B34A3"/>
    <w:rsid w:val="009B3682"/>
    <w:rsid w:val="009B5470"/>
    <w:rsid w:val="009B69B8"/>
    <w:rsid w:val="009C3A2C"/>
    <w:rsid w:val="009D52D8"/>
    <w:rsid w:val="009D6678"/>
    <w:rsid w:val="009D68C4"/>
    <w:rsid w:val="009D725E"/>
    <w:rsid w:val="009D780A"/>
    <w:rsid w:val="009E0358"/>
    <w:rsid w:val="009E07D7"/>
    <w:rsid w:val="009E1440"/>
    <w:rsid w:val="009E4BD4"/>
    <w:rsid w:val="009E4F20"/>
    <w:rsid w:val="009E5341"/>
    <w:rsid w:val="009F1E0A"/>
    <w:rsid w:val="009F55C0"/>
    <w:rsid w:val="009F77F7"/>
    <w:rsid w:val="00A01739"/>
    <w:rsid w:val="00A01A89"/>
    <w:rsid w:val="00A031EB"/>
    <w:rsid w:val="00A04811"/>
    <w:rsid w:val="00A0738E"/>
    <w:rsid w:val="00A1010C"/>
    <w:rsid w:val="00A1275C"/>
    <w:rsid w:val="00A127C3"/>
    <w:rsid w:val="00A14AC4"/>
    <w:rsid w:val="00A15B9D"/>
    <w:rsid w:val="00A16AB7"/>
    <w:rsid w:val="00A2089C"/>
    <w:rsid w:val="00A274E3"/>
    <w:rsid w:val="00A36170"/>
    <w:rsid w:val="00A40C24"/>
    <w:rsid w:val="00A420DB"/>
    <w:rsid w:val="00A4424A"/>
    <w:rsid w:val="00A45157"/>
    <w:rsid w:val="00A53CE1"/>
    <w:rsid w:val="00A5485F"/>
    <w:rsid w:val="00A57F8C"/>
    <w:rsid w:val="00A608A4"/>
    <w:rsid w:val="00A629AA"/>
    <w:rsid w:val="00A63F56"/>
    <w:rsid w:val="00A6456B"/>
    <w:rsid w:val="00A67955"/>
    <w:rsid w:val="00A71AF8"/>
    <w:rsid w:val="00A71EF9"/>
    <w:rsid w:val="00A74CFD"/>
    <w:rsid w:val="00A74E29"/>
    <w:rsid w:val="00A75F67"/>
    <w:rsid w:val="00A775E0"/>
    <w:rsid w:val="00A80EAE"/>
    <w:rsid w:val="00A83CA8"/>
    <w:rsid w:val="00A84EBC"/>
    <w:rsid w:val="00A864AB"/>
    <w:rsid w:val="00A8688A"/>
    <w:rsid w:val="00A917E5"/>
    <w:rsid w:val="00A930EF"/>
    <w:rsid w:val="00A945C8"/>
    <w:rsid w:val="00AA0F58"/>
    <w:rsid w:val="00AA1A60"/>
    <w:rsid w:val="00AA77B9"/>
    <w:rsid w:val="00AB1C3A"/>
    <w:rsid w:val="00AB5339"/>
    <w:rsid w:val="00AB5501"/>
    <w:rsid w:val="00AB61FB"/>
    <w:rsid w:val="00AC00B5"/>
    <w:rsid w:val="00AC28E8"/>
    <w:rsid w:val="00AC2A21"/>
    <w:rsid w:val="00AC2A99"/>
    <w:rsid w:val="00AC2D6B"/>
    <w:rsid w:val="00AC42F2"/>
    <w:rsid w:val="00AD0C2A"/>
    <w:rsid w:val="00AD20CC"/>
    <w:rsid w:val="00AD3CA3"/>
    <w:rsid w:val="00AD5E3E"/>
    <w:rsid w:val="00AD6CA1"/>
    <w:rsid w:val="00AE026C"/>
    <w:rsid w:val="00AE06DF"/>
    <w:rsid w:val="00AE3EB2"/>
    <w:rsid w:val="00AF3A88"/>
    <w:rsid w:val="00AF3BAD"/>
    <w:rsid w:val="00AF4B5B"/>
    <w:rsid w:val="00AF70BB"/>
    <w:rsid w:val="00AF7505"/>
    <w:rsid w:val="00B004D3"/>
    <w:rsid w:val="00B06331"/>
    <w:rsid w:val="00B0667C"/>
    <w:rsid w:val="00B06BC9"/>
    <w:rsid w:val="00B07995"/>
    <w:rsid w:val="00B13007"/>
    <w:rsid w:val="00B157B6"/>
    <w:rsid w:val="00B16B7A"/>
    <w:rsid w:val="00B2788A"/>
    <w:rsid w:val="00B27FDA"/>
    <w:rsid w:val="00B34806"/>
    <w:rsid w:val="00B34D4D"/>
    <w:rsid w:val="00B3732D"/>
    <w:rsid w:val="00B40789"/>
    <w:rsid w:val="00B45756"/>
    <w:rsid w:val="00B52BE7"/>
    <w:rsid w:val="00B555F0"/>
    <w:rsid w:val="00B60210"/>
    <w:rsid w:val="00B604CA"/>
    <w:rsid w:val="00B6069F"/>
    <w:rsid w:val="00B62914"/>
    <w:rsid w:val="00B63776"/>
    <w:rsid w:val="00B63B91"/>
    <w:rsid w:val="00B6592C"/>
    <w:rsid w:val="00B674D6"/>
    <w:rsid w:val="00B73A76"/>
    <w:rsid w:val="00B766E4"/>
    <w:rsid w:val="00B80932"/>
    <w:rsid w:val="00B80A35"/>
    <w:rsid w:val="00B80AD4"/>
    <w:rsid w:val="00B80F15"/>
    <w:rsid w:val="00B81CCA"/>
    <w:rsid w:val="00B82095"/>
    <w:rsid w:val="00B828E3"/>
    <w:rsid w:val="00B84E53"/>
    <w:rsid w:val="00B85FD6"/>
    <w:rsid w:val="00B91669"/>
    <w:rsid w:val="00B964F5"/>
    <w:rsid w:val="00BA146D"/>
    <w:rsid w:val="00BA2316"/>
    <w:rsid w:val="00BA3E14"/>
    <w:rsid w:val="00BA427B"/>
    <w:rsid w:val="00BA7CE9"/>
    <w:rsid w:val="00BA7E2E"/>
    <w:rsid w:val="00BB068B"/>
    <w:rsid w:val="00BB5DDA"/>
    <w:rsid w:val="00BB6AA6"/>
    <w:rsid w:val="00BC069D"/>
    <w:rsid w:val="00BC19C6"/>
    <w:rsid w:val="00BC22BC"/>
    <w:rsid w:val="00BC394B"/>
    <w:rsid w:val="00BD12E7"/>
    <w:rsid w:val="00BD2C8A"/>
    <w:rsid w:val="00BD37EF"/>
    <w:rsid w:val="00BD722E"/>
    <w:rsid w:val="00BE1B4D"/>
    <w:rsid w:val="00BE21FD"/>
    <w:rsid w:val="00BE28C7"/>
    <w:rsid w:val="00BE2BCD"/>
    <w:rsid w:val="00BE410D"/>
    <w:rsid w:val="00BE552C"/>
    <w:rsid w:val="00BE79D2"/>
    <w:rsid w:val="00BF5830"/>
    <w:rsid w:val="00C00040"/>
    <w:rsid w:val="00C0119F"/>
    <w:rsid w:val="00C06776"/>
    <w:rsid w:val="00C13382"/>
    <w:rsid w:val="00C14137"/>
    <w:rsid w:val="00C16391"/>
    <w:rsid w:val="00C17526"/>
    <w:rsid w:val="00C22DF1"/>
    <w:rsid w:val="00C26D18"/>
    <w:rsid w:val="00C3259F"/>
    <w:rsid w:val="00C33B4B"/>
    <w:rsid w:val="00C341EF"/>
    <w:rsid w:val="00C34EE8"/>
    <w:rsid w:val="00C36197"/>
    <w:rsid w:val="00C37628"/>
    <w:rsid w:val="00C40A86"/>
    <w:rsid w:val="00C42610"/>
    <w:rsid w:val="00C442F8"/>
    <w:rsid w:val="00C46B8D"/>
    <w:rsid w:val="00C477CF"/>
    <w:rsid w:val="00C477DA"/>
    <w:rsid w:val="00C50B71"/>
    <w:rsid w:val="00C520B8"/>
    <w:rsid w:val="00C6080C"/>
    <w:rsid w:val="00C62797"/>
    <w:rsid w:val="00C64FBC"/>
    <w:rsid w:val="00C666D7"/>
    <w:rsid w:val="00C71B58"/>
    <w:rsid w:val="00C732BD"/>
    <w:rsid w:val="00C733FC"/>
    <w:rsid w:val="00C80501"/>
    <w:rsid w:val="00C80A7A"/>
    <w:rsid w:val="00C80F77"/>
    <w:rsid w:val="00C82E83"/>
    <w:rsid w:val="00C830B2"/>
    <w:rsid w:val="00C83E7A"/>
    <w:rsid w:val="00C9569D"/>
    <w:rsid w:val="00C95E20"/>
    <w:rsid w:val="00CA1D3E"/>
    <w:rsid w:val="00CA289C"/>
    <w:rsid w:val="00CA6D80"/>
    <w:rsid w:val="00CA6EF7"/>
    <w:rsid w:val="00CA6F8E"/>
    <w:rsid w:val="00CB177F"/>
    <w:rsid w:val="00CB31D5"/>
    <w:rsid w:val="00CB5234"/>
    <w:rsid w:val="00CB6FB0"/>
    <w:rsid w:val="00CB7248"/>
    <w:rsid w:val="00CB772B"/>
    <w:rsid w:val="00CB7A01"/>
    <w:rsid w:val="00CC4FF0"/>
    <w:rsid w:val="00CC53F4"/>
    <w:rsid w:val="00CC70C6"/>
    <w:rsid w:val="00CC74A3"/>
    <w:rsid w:val="00CD75F6"/>
    <w:rsid w:val="00CE20C1"/>
    <w:rsid w:val="00CE23CF"/>
    <w:rsid w:val="00CE2F82"/>
    <w:rsid w:val="00CF21EA"/>
    <w:rsid w:val="00CF3715"/>
    <w:rsid w:val="00CF3AB6"/>
    <w:rsid w:val="00CF4B2A"/>
    <w:rsid w:val="00CF6F6D"/>
    <w:rsid w:val="00D02DF0"/>
    <w:rsid w:val="00D034AB"/>
    <w:rsid w:val="00D0388E"/>
    <w:rsid w:val="00D04B72"/>
    <w:rsid w:val="00D068A5"/>
    <w:rsid w:val="00D068FF"/>
    <w:rsid w:val="00D10EBF"/>
    <w:rsid w:val="00D1129E"/>
    <w:rsid w:val="00D12116"/>
    <w:rsid w:val="00D14BA5"/>
    <w:rsid w:val="00D21638"/>
    <w:rsid w:val="00D22945"/>
    <w:rsid w:val="00D23A69"/>
    <w:rsid w:val="00D24043"/>
    <w:rsid w:val="00D250C0"/>
    <w:rsid w:val="00D32371"/>
    <w:rsid w:val="00D32B3C"/>
    <w:rsid w:val="00D40731"/>
    <w:rsid w:val="00D45F79"/>
    <w:rsid w:val="00D517ED"/>
    <w:rsid w:val="00D525D4"/>
    <w:rsid w:val="00D536D4"/>
    <w:rsid w:val="00D55060"/>
    <w:rsid w:val="00D553EF"/>
    <w:rsid w:val="00D56207"/>
    <w:rsid w:val="00D571E2"/>
    <w:rsid w:val="00D6704B"/>
    <w:rsid w:val="00D72420"/>
    <w:rsid w:val="00D72934"/>
    <w:rsid w:val="00D72965"/>
    <w:rsid w:val="00D7379B"/>
    <w:rsid w:val="00D7552E"/>
    <w:rsid w:val="00D762A5"/>
    <w:rsid w:val="00D766AC"/>
    <w:rsid w:val="00D7732D"/>
    <w:rsid w:val="00D80F77"/>
    <w:rsid w:val="00D82100"/>
    <w:rsid w:val="00D878BE"/>
    <w:rsid w:val="00D91A3B"/>
    <w:rsid w:val="00D927FF"/>
    <w:rsid w:val="00D93003"/>
    <w:rsid w:val="00D93244"/>
    <w:rsid w:val="00D93310"/>
    <w:rsid w:val="00D93A92"/>
    <w:rsid w:val="00D94B14"/>
    <w:rsid w:val="00D954BA"/>
    <w:rsid w:val="00D967BE"/>
    <w:rsid w:val="00DA0CE7"/>
    <w:rsid w:val="00DA280F"/>
    <w:rsid w:val="00DA42D0"/>
    <w:rsid w:val="00DA48C6"/>
    <w:rsid w:val="00DA5B86"/>
    <w:rsid w:val="00DA6150"/>
    <w:rsid w:val="00DA7CE8"/>
    <w:rsid w:val="00DB0AB3"/>
    <w:rsid w:val="00DB2DD0"/>
    <w:rsid w:val="00DB4674"/>
    <w:rsid w:val="00DB59A3"/>
    <w:rsid w:val="00DC22FF"/>
    <w:rsid w:val="00DC2623"/>
    <w:rsid w:val="00DC3B8C"/>
    <w:rsid w:val="00DC3D4A"/>
    <w:rsid w:val="00DC4463"/>
    <w:rsid w:val="00DC4EA9"/>
    <w:rsid w:val="00DC686B"/>
    <w:rsid w:val="00DC6C0F"/>
    <w:rsid w:val="00DD10F3"/>
    <w:rsid w:val="00DD4C0D"/>
    <w:rsid w:val="00DD683C"/>
    <w:rsid w:val="00DD6F80"/>
    <w:rsid w:val="00DD7092"/>
    <w:rsid w:val="00DD7365"/>
    <w:rsid w:val="00DE3FD2"/>
    <w:rsid w:val="00DE4FE2"/>
    <w:rsid w:val="00DE5505"/>
    <w:rsid w:val="00DE661D"/>
    <w:rsid w:val="00DE71BD"/>
    <w:rsid w:val="00DE7317"/>
    <w:rsid w:val="00DF058F"/>
    <w:rsid w:val="00DF18BE"/>
    <w:rsid w:val="00DF72B4"/>
    <w:rsid w:val="00E02423"/>
    <w:rsid w:val="00E0260F"/>
    <w:rsid w:val="00E03C2A"/>
    <w:rsid w:val="00E058C3"/>
    <w:rsid w:val="00E06740"/>
    <w:rsid w:val="00E109F3"/>
    <w:rsid w:val="00E10B70"/>
    <w:rsid w:val="00E12C41"/>
    <w:rsid w:val="00E13030"/>
    <w:rsid w:val="00E1331E"/>
    <w:rsid w:val="00E13DE3"/>
    <w:rsid w:val="00E15F10"/>
    <w:rsid w:val="00E22DEA"/>
    <w:rsid w:val="00E23057"/>
    <w:rsid w:val="00E24E1C"/>
    <w:rsid w:val="00E2596C"/>
    <w:rsid w:val="00E26828"/>
    <w:rsid w:val="00E26977"/>
    <w:rsid w:val="00E26FDA"/>
    <w:rsid w:val="00E30402"/>
    <w:rsid w:val="00E3233B"/>
    <w:rsid w:val="00E3379E"/>
    <w:rsid w:val="00E33EA3"/>
    <w:rsid w:val="00E3602B"/>
    <w:rsid w:val="00E37285"/>
    <w:rsid w:val="00E37648"/>
    <w:rsid w:val="00E37AD1"/>
    <w:rsid w:val="00E405CE"/>
    <w:rsid w:val="00E50826"/>
    <w:rsid w:val="00E53A15"/>
    <w:rsid w:val="00E54B0F"/>
    <w:rsid w:val="00E562D7"/>
    <w:rsid w:val="00E60F57"/>
    <w:rsid w:val="00E6162D"/>
    <w:rsid w:val="00E62B80"/>
    <w:rsid w:val="00E63B27"/>
    <w:rsid w:val="00E64047"/>
    <w:rsid w:val="00E6486A"/>
    <w:rsid w:val="00E65BF1"/>
    <w:rsid w:val="00E66DA1"/>
    <w:rsid w:val="00E70B95"/>
    <w:rsid w:val="00E715CB"/>
    <w:rsid w:val="00E73A28"/>
    <w:rsid w:val="00E73CFD"/>
    <w:rsid w:val="00E7530E"/>
    <w:rsid w:val="00E75B17"/>
    <w:rsid w:val="00E75E13"/>
    <w:rsid w:val="00E75F92"/>
    <w:rsid w:val="00E7771C"/>
    <w:rsid w:val="00E77CFC"/>
    <w:rsid w:val="00E85AA4"/>
    <w:rsid w:val="00E87FCE"/>
    <w:rsid w:val="00E9117A"/>
    <w:rsid w:val="00E93988"/>
    <w:rsid w:val="00EA26B7"/>
    <w:rsid w:val="00EA6FC3"/>
    <w:rsid w:val="00EB04BD"/>
    <w:rsid w:val="00EB335E"/>
    <w:rsid w:val="00EB3B89"/>
    <w:rsid w:val="00EB65FA"/>
    <w:rsid w:val="00EB6C46"/>
    <w:rsid w:val="00EB6DB7"/>
    <w:rsid w:val="00EC05D9"/>
    <w:rsid w:val="00EC18F8"/>
    <w:rsid w:val="00EC1FCE"/>
    <w:rsid w:val="00EC5A8B"/>
    <w:rsid w:val="00EC5BC1"/>
    <w:rsid w:val="00EC63B9"/>
    <w:rsid w:val="00EC6DCA"/>
    <w:rsid w:val="00ED273D"/>
    <w:rsid w:val="00ED46BD"/>
    <w:rsid w:val="00EE0BA3"/>
    <w:rsid w:val="00EE43D7"/>
    <w:rsid w:val="00EE4FCC"/>
    <w:rsid w:val="00EE6997"/>
    <w:rsid w:val="00EE6EE8"/>
    <w:rsid w:val="00EF1787"/>
    <w:rsid w:val="00EF696D"/>
    <w:rsid w:val="00EF69F4"/>
    <w:rsid w:val="00EF7C5F"/>
    <w:rsid w:val="00F01631"/>
    <w:rsid w:val="00F02B4C"/>
    <w:rsid w:val="00F02F0A"/>
    <w:rsid w:val="00F043BD"/>
    <w:rsid w:val="00F04C6C"/>
    <w:rsid w:val="00F077E0"/>
    <w:rsid w:val="00F07BC7"/>
    <w:rsid w:val="00F10DD0"/>
    <w:rsid w:val="00F12983"/>
    <w:rsid w:val="00F215BF"/>
    <w:rsid w:val="00F21B76"/>
    <w:rsid w:val="00F226A9"/>
    <w:rsid w:val="00F24810"/>
    <w:rsid w:val="00F24CFD"/>
    <w:rsid w:val="00F25F6F"/>
    <w:rsid w:val="00F3115C"/>
    <w:rsid w:val="00F3131D"/>
    <w:rsid w:val="00F3435B"/>
    <w:rsid w:val="00F36B65"/>
    <w:rsid w:val="00F405A5"/>
    <w:rsid w:val="00F40960"/>
    <w:rsid w:val="00F41D77"/>
    <w:rsid w:val="00F45021"/>
    <w:rsid w:val="00F50C96"/>
    <w:rsid w:val="00F518E2"/>
    <w:rsid w:val="00F519AD"/>
    <w:rsid w:val="00F5344A"/>
    <w:rsid w:val="00F54624"/>
    <w:rsid w:val="00F54997"/>
    <w:rsid w:val="00F5518E"/>
    <w:rsid w:val="00F56E7E"/>
    <w:rsid w:val="00F619F9"/>
    <w:rsid w:val="00F62416"/>
    <w:rsid w:val="00F71250"/>
    <w:rsid w:val="00F72BCD"/>
    <w:rsid w:val="00F73297"/>
    <w:rsid w:val="00F7469A"/>
    <w:rsid w:val="00F754D8"/>
    <w:rsid w:val="00F755CD"/>
    <w:rsid w:val="00F761B5"/>
    <w:rsid w:val="00F76D4B"/>
    <w:rsid w:val="00F82572"/>
    <w:rsid w:val="00F92038"/>
    <w:rsid w:val="00F95211"/>
    <w:rsid w:val="00F95CA6"/>
    <w:rsid w:val="00FA0149"/>
    <w:rsid w:val="00FA13BB"/>
    <w:rsid w:val="00FA6F02"/>
    <w:rsid w:val="00FB1777"/>
    <w:rsid w:val="00FB354F"/>
    <w:rsid w:val="00FB423E"/>
    <w:rsid w:val="00FB4AD7"/>
    <w:rsid w:val="00FB6133"/>
    <w:rsid w:val="00FC2546"/>
    <w:rsid w:val="00FC2C07"/>
    <w:rsid w:val="00FC2DE4"/>
    <w:rsid w:val="00FC4AD7"/>
    <w:rsid w:val="00FC59B9"/>
    <w:rsid w:val="00FC5F85"/>
    <w:rsid w:val="00FD449A"/>
    <w:rsid w:val="00FD65FE"/>
    <w:rsid w:val="00FD6F0F"/>
    <w:rsid w:val="00FD7DC2"/>
    <w:rsid w:val="00FE6893"/>
    <w:rsid w:val="00FF3A2B"/>
    <w:rsid w:val="00FF44A2"/>
    <w:rsid w:val="00FF6FA8"/>
    <w:rsid w:val="00FF7522"/>
    <w:rsid w:val="00FF78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8FB4D3"/>
  <w15:docId w15:val="{D60981DF-9068-4DF3-8596-BEE100E5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wis721 Lt BT" w:eastAsiaTheme="minorHAnsi" w:hAnsi="Swis721 Lt BT"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7E51"/>
    <w:pPr>
      <w:spacing w:before="120" w:after="120" w:line="276" w:lineRule="auto"/>
      <w:jc w:val="both"/>
    </w:pPr>
    <w:rPr>
      <w:rFonts w:ascii="DIN" w:eastAsia="Times New Roman" w:hAnsi="DIN" w:cs="Arial"/>
      <w:szCs w:val="24"/>
    </w:rPr>
  </w:style>
  <w:style w:type="paragraph" w:styleId="Ttulo1">
    <w:name w:val="heading 1"/>
    <w:basedOn w:val="Normal"/>
    <w:next w:val="Normal"/>
    <w:link w:val="Ttulo1Car"/>
    <w:uiPriority w:val="99"/>
    <w:qFormat/>
    <w:rsid w:val="00505C56"/>
    <w:pPr>
      <w:keepNext/>
      <w:pageBreakBefore/>
      <w:pBdr>
        <w:bottom w:val="single" w:sz="4" w:space="1" w:color="auto"/>
      </w:pBdr>
      <w:outlineLvl w:val="0"/>
    </w:pPr>
    <w:rPr>
      <w:sz w:val="32"/>
    </w:rPr>
  </w:style>
  <w:style w:type="paragraph" w:styleId="Ttulo2">
    <w:name w:val="heading 2"/>
    <w:basedOn w:val="Prrafodelista"/>
    <w:next w:val="Normal"/>
    <w:link w:val="Ttulo2Car"/>
    <w:uiPriority w:val="99"/>
    <w:unhideWhenUsed/>
    <w:qFormat/>
    <w:rsid w:val="00477922"/>
    <w:pPr>
      <w:pageBreakBefore/>
      <w:numPr>
        <w:numId w:val="1"/>
      </w:numPr>
      <w:spacing w:before="240"/>
      <w:ind w:left="360"/>
      <w:contextualSpacing w:val="0"/>
      <w:outlineLvl w:val="1"/>
    </w:pPr>
    <w:rPr>
      <w:rFonts w:ascii="HelveticaNeueLT Std Med" w:hAnsi="HelveticaNeueLT Std Med"/>
      <w:caps/>
      <w:color w:val="007B85" w:themeColor="background2"/>
      <w:sz w:val="24"/>
    </w:rPr>
  </w:style>
  <w:style w:type="paragraph" w:styleId="Ttulo3">
    <w:name w:val="heading 3"/>
    <w:basedOn w:val="Normal"/>
    <w:next w:val="Normal"/>
    <w:link w:val="Ttulo3Car"/>
    <w:uiPriority w:val="99"/>
    <w:unhideWhenUsed/>
    <w:qFormat/>
    <w:rsid w:val="00451E2C"/>
    <w:pPr>
      <w:keepNext/>
      <w:keepLines/>
      <w:numPr>
        <w:ilvl w:val="1"/>
        <w:numId w:val="1"/>
      </w:numPr>
      <w:spacing w:before="240" w:after="240"/>
      <w:ind w:left="357" w:hanging="357"/>
      <w:outlineLvl w:val="2"/>
    </w:pPr>
    <w:rPr>
      <w:rFonts w:ascii="HelveticaNeueLT Std Ext" w:eastAsiaTheme="majorEastAsia" w:hAnsi="HelveticaNeueLT Std Ext" w:cstheme="majorBidi"/>
      <w:caps/>
    </w:rPr>
  </w:style>
  <w:style w:type="paragraph" w:styleId="Ttulo4">
    <w:name w:val="heading 4"/>
    <w:basedOn w:val="Ttulo3"/>
    <w:next w:val="Normal"/>
    <w:link w:val="Ttulo4Car"/>
    <w:uiPriority w:val="9"/>
    <w:unhideWhenUsed/>
    <w:qFormat/>
    <w:rsid w:val="007B2B3F"/>
    <w:pPr>
      <w:numPr>
        <w:ilvl w:val="2"/>
      </w:numPr>
      <w:outlineLvl w:val="3"/>
    </w:pPr>
    <w:rPr>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51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51D0"/>
    <w:rPr>
      <w:noProof/>
    </w:rPr>
  </w:style>
  <w:style w:type="paragraph" w:styleId="Piedepgina">
    <w:name w:val="footer"/>
    <w:basedOn w:val="Normal"/>
    <w:link w:val="PiedepginaCar"/>
    <w:uiPriority w:val="99"/>
    <w:unhideWhenUsed/>
    <w:rsid w:val="002A51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51D0"/>
    <w:rPr>
      <w:noProof/>
    </w:rPr>
  </w:style>
  <w:style w:type="paragraph" w:styleId="Prrafodelista">
    <w:name w:val="List Paragraph"/>
    <w:basedOn w:val="Normal"/>
    <w:link w:val="PrrafodelistaCar"/>
    <w:uiPriority w:val="34"/>
    <w:qFormat/>
    <w:rsid w:val="00272C0E"/>
    <w:pPr>
      <w:ind w:left="720"/>
      <w:contextualSpacing/>
    </w:pPr>
  </w:style>
  <w:style w:type="character" w:customStyle="1" w:styleId="Ttulo1Car">
    <w:name w:val="Título 1 Car"/>
    <w:basedOn w:val="Fuentedeprrafopredeter"/>
    <w:link w:val="Ttulo1"/>
    <w:uiPriority w:val="99"/>
    <w:rsid w:val="00505C56"/>
    <w:rPr>
      <w:rFonts w:ascii="DIN" w:eastAsia="Times New Roman" w:hAnsi="DIN" w:cs="Arial"/>
      <w:sz w:val="32"/>
      <w:szCs w:val="24"/>
    </w:rPr>
  </w:style>
  <w:style w:type="character" w:customStyle="1" w:styleId="Ttulo2Car">
    <w:name w:val="Título 2 Car"/>
    <w:basedOn w:val="Fuentedeprrafopredeter"/>
    <w:link w:val="Ttulo2"/>
    <w:uiPriority w:val="9"/>
    <w:rsid w:val="00477922"/>
    <w:rPr>
      <w:rFonts w:ascii="HelveticaNeueLT Std Med" w:eastAsia="Times New Roman" w:hAnsi="HelveticaNeueLT Std Med" w:cs="Arial"/>
      <w:caps/>
      <w:color w:val="007B85" w:themeColor="background2"/>
      <w:sz w:val="24"/>
      <w:szCs w:val="24"/>
    </w:rPr>
  </w:style>
  <w:style w:type="paragraph" w:styleId="TDC1">
    <w:name w:val="toc 1"/>
    <w:basedOn w:val="Normal"/>
    <w:next w:val="Normal"/>
    <w:autoRedefine/>
    <w:uiPriority w:val="39"/>
    <w:unhideWhenUsed/>
    <w:rsid w:val="00EB65FA"/>
    <w:pPr>
      <w:pBdr>
        <w:bottom w:val="single" w:sz="12" w:space="1" w:color="007B85" w:themeColor="background2"/>
      </w:pBdr>
      <w:tabs>
        <w:tab w:val="right" w:pos="8828"/>
      </w:tabs>
      <w:spacing w:before="360" w:after="360"/>
      <w:jc w:val="left"/>
    </w:pPr>
    <w:rPr>
      <w:b/>
      <w:bCs/>
      <w:iCs/>
      <w:noProof/>
      <w:color w:val="007B85" w:themeColor="background2"/>
    </w:rPr>
  </w:style>
  <w:style w:type="paragraph" w:styleId="TDC2">
    <w:name w:val="toc 2"/>
    <w:basedOn w:val="Normal"/>
    <w:next w:val="Normal"/>
    <w:autoRedefine/>
    <w:uiPriority w:val="39"/>
    <w:unhideWhenUsed/>
    <w:rsid w:val="00FB423E"/>
    <w:pPr>
      <w:tabs>
        <w:tab w:val="left" w:pos="426"/>
        <w:tab w:val="right" w:pos="8828"/>
      </w:tabs>
      <w:spacing w:after="0" w:line="240" w:lineRule="auto"/>
      <w:ind w:right="848"/>
      <w:jc w:val="left"/>
    </w:pPr>
    <w:rPr>
      <w:bCs/>
      <w:noProof/>
      <w:sz w:val="18"/>
    </w:rPr>
  </w:style>
  <w:style w:type="paragraph" w:styleId="TDC3">
    <w:name w:val="toc 3"/>
    <w:basedOn w:val="Normal"/>
    <w:next w:val="Normal"/>
    <w:autoRedefine/>
    <w:uiPriority w:val="39"/>
    <w:unhideWhenUsed/>
    <w:rsid w:val="00084B29"/>
    <w:pPr>
      <w:tabs>
        <w:tab w:val="left" w:pos="851"/>
        <w:tab w:val="left" w:pos="1100"/>
        <w:tab w:val="right" w:pos="8828"/>
      </w:tabs>
      <w:spacing w:after="0" w:line="240" w:lineRule="auto"/>
      <w:ind w:left="709"/>
      <w:jc w:val="left"/>
    </w:pPr>
    <w:rPr>
      <w:caps/>
      <w:sz w:val="18"/>
      <w:szCs w:val="20"/>
    </w:rPr>
  </w:style>
  <w:style w:type="paragraph" w:styleId="TDC4">
    <w:name w:val="toc 4"/>
    <w:basedOn w:val="Normal"/>
    <w:next w:val="Normal"/>
    <w:autoRedefine/>
    <w:uiPriority w:val="39"/>
    <w:unhideWhenUsed/>
    <w:rsid w:val="009E0358"/>
    <w:pPr>
      <w:spacing w:after="0"/>
      <w:ind w:left="660"/>
      <w:jc w:val="left"/>
    </w:pPr>
    <w:rPr>
      <w:rFonts w:asciiTheme="minorHAnsi" w:hAnsiTheme="minorHAnsi"/>
      <w:szCs w:val="20"/>
    </w:rPr>
  </w:style>
  <w:style w:type="paragraph" w:styleId="TDC5">
    <w:name w:val="toc 5"/>
    <w:basedOn w:val="Normal"/>
    <w:next w:val="Normal"/>
    <w:autoRedefine/>
    <w:uiPriority w:val="39"/>
    <w:unhideWhenUsed/>
    <w:rsid w:val="009E0358"/>
    <w:pPr>
      <w:spacing w:after="0"/>
      <w:ind w:left="880"/>
      <w:jc w:val="left"/>
    </w:pPr>
    <w:rPr>
      <w:rFonts w:asciiTheme="minorHAnsi" w:hAnsiTheme="minorHAnsi"/>
      <w:szCs w:val="20"/>
    </w:rPr>
  </w:style>
  <w:style w:type="paragraph" w:styleId="TDC6">
    <w:name w:val="toc 6"/>
    <w:basedOn w:val="Normal"/>
    <w:next w:val="Normal"/>
    <w:autoRedefine/>
    <w:uiPriority w:val="39"/>
    <w:unhideWhenUsed/>
    <w:rsid w:val="009E0358"/>
    <w:pPr>
      <w:spacing w:after="0"/>
      <w:ind w:left="1100"/>
      <w:jc w:val="left"/>
    </w:pPr>
    <w:rPr>
      <w:rFonts w:asciiTheme="minorHAnsi" w:hAnsiTheme="minorHAnsi"/>
      <w:szCs w:val="20"/>
    </w:rPr>
  </w:style>
  <w:style w:type="paragraph" w:styleId="TDC7">
    <w:name w:val="toc 7"/>
    <w:basedOn w:val="Normal"/>
    <w:next w:val="Normal"/>
    <w:autoRedefine/>
    <w:uiPriority w:val="39"/>
    <w:unhideWhenUsed/>
    <w:rsid w:val="009E0358"/>
    <w:pPr>
      <w:spacing w:after="0"/>
      <w:ind w:left="1320"/>
      <w:jc w:val="left"/>
    </w:pPr>
    <w:rPr>
      <w:rFonts w:asciiTheme="minorHAnsi" w:hAnsiTheme="minorHAnsi"/>
      <w:szCs w:val="20"/>
    </w:rPr>
  </w:style>
  <w:style w:type="paragraph" w:styleId="TDC8">
    <w:name w:val="toc 8"/>
    <w:basedOn w:val="Normal"/>
    <w:next w:val="Normal"/>
    <w:autoRedefine/>
    <w:uiPriority w:val="39"/>
    <w:unhideWhenUsed/>
    <w:rsid w:val="009E0358"/>
    <w:pPr>
      <w:spacing w:after="0"/>
      <w:ind w:left="1540"/>
      <w:jc w:val="left"/>
    </w:pPr>
    <w:rPr>
      <w:rFonts w:asciiTheme="minorHAnsi" w:hAnsiTheme="minorHAnsi"/>
      <w:szCs w:val="20"/>
    </w:rPr>
  </w:style>
  <w:style w:type="paragraph" w:styleId="TDC9">
    <w:name w:val="toc 9"/>
    <w:basedOn w:val="Normal"/>
    <w:next w:val="Normal"/>
    <w:autoRedefine/>
    <w:uiPriority w:val="39"/>
    <w:unhideWhenUsed/>
    <w:rsid w:val="009E0358"/>
    <w:pPr>
      <w:spacing w:after="0"/>
      <w:ind w:left="1760"/>
      <w:jc w:val="left"/>
    </w:pPr>
    <w:rPr>
      <w:rFonts w:asciiTheme="minorHAnsi" w:hAnsiTheme="minorHAnsi"/>
      <w:szCs w:val="20"/>
    </w:rPr>
  </w:style>
  <w:style w:type="character" w:styleId="Hipervnculo">
    <w:name w:val="Hyperlink"/>
    <w:basedOn w:val="Fuentedeprrafopredeter"/>
    <w:uiPriority w:val="99"/>
    <w:unhideWhenUsed/>
    <w:rsid w:val="009E0358"/>
    <w:rPr>
      <w:color w:val="F68A33" w:themeColor="hyperlink"/>
      <w:u w:val="single"/>
    </w:rPr>
  </w:style>
  <w:style w:type="character" w:customStyle="1" w:styleId="Ttulo3Car">
    <w:name w:val="Título 3 Car"/>
    <w:basedOn w:val="Fuentedeprrafopredeter"/>
    <w:link w:val="Ttulo3"/>
    <w:uiPriority w:val="9"/>
    <w:rsid w:val="00451E2C"/>
    <w:rPr>
      <w:rFonts w:ascii="HelveticaNeueLT Std Ext" w:eastAsiaTheme="majorEastAsia" w:hAnsi="HelveticaNeueLT Std Ext" w:cstheme="majorBidi"/>
      <w:caps/>
      <w:szCs w:val="24"/>
    </w:rPr>
  </w:style>
  <w:style w:type="character" w:customStyle="1" w:styleId="Ttulo4Car">
    <w:name w:val="Título 4 Car"/>
    <w:basedOn w:val="Fuentedeprrafopredeter"/>
    <w:link w:val="Ttulo4"/>
    <w:uiPriority w:val="9"/>
    <w:rsid w:val="007B2B3F"/>
    <w:rPr>
      <w:rFonts w:ascii="HelveticaNeueLT Std Ext" w:eastAsiaTheme="majorEastAsia" w:hAnsi="HelveticaNeueLT Std Ext" w:cstheme="majorBidi"/>
      <w:caps/>
      <w:sz w:val="20"/>
      <w:szCs w:val="24"/>
    </w:rPr>
  </w:style>
  <w:style w:type="paragraph" w:customStyle="1" w:styleId="ParrafoInformesCDEC">
    <w:name w:val="Parrafo Informes CDEC"/>
    <w:basedOn w:val="Normal"/>
    <w:rsid w:val="001D2021"/>
    <w:rPr>
      <w:rFonts w:ascii="Arial" w:hAnsi="Arial"/>
    </w:rPr>
  </w:style>
  <w:style w:type="paragraph" w:styleId="Descripcin">
    <w:name w:val="caption"/>
    <w:basedOn w:val="Normal"/>
    <w:next w:val="Normal"/>
    <w:uiPriority w:val="35"/>
    <w:unhideWhenUsed/>
    <w:qFormat/>
    <w:rsid w:val="005C19D0"/>
    <w:pPr>
      <w:spacing w:after="200" w:line="240" w:lineRule="auto"/>
      <w:jc w:val="center"/>
    </w:pPr>
    <w:rPr>
      <w:iCs/>
      <w:sz w:val="20"/>
      <w:szCs w:val="18"/>
    </w:rPr>
  </w:style>
  <w:style w:type="paragraph" w:customStyle="1" w:styleId="EstiloEpgrafeCentrado">
    <w:name w:val="Estilo Epígrafe + Centrado"/>
    <w:basedOn w:val="Descripcin"/>
    <w:rsid w:val="005B67F5"/>
    <w:pPr>
      <w:spacing w:after="0" w:line="276" w:lineRule="auto"/>
    </w:pPr>
    <w:rPr>
      <w:rFonts w:ascii="Arial" w:hAnsi="Arial" w:cs="Times New Roman"/>
      <w:b/>
      <w:bCs/>
      <w:i/>
      <w:iCs w:val="0"/>
      <w:szCs w:val="20"/>
    </w:rPr>
  </w:style>
  <w:style w:type="paragraph" w:customStyle="1" w:styleId="EstiloEpgrafeCentrado1">
    <w:name w:val="Estilo Epígrafe + Centrado1"/>
    <w:basedOn w:val="Descripcin"/>
    <w:rsid w:val="005B67F5"/>
    <w:pPr>
      <w:spacing w:after="0" w:line="276" w:lineRule="auto"/>
    </w:pPr>
    <w:rPr>
      <w:rFonts w:ascii="Arial" w:hAnsi="Arial" w:cs="Times New Roman"/>
      <w:b/>
      <w:bCs/>
      <w:i/>
      <w:iCs w:val="0"/>
      <w:szCs w:val="20"/>
    </w:rPr>
  </w:style>
  <w:style w:type="paragraph" w:customStyle="1" w:styleId="Artculo">
    <w:name w:val="Artículo"/>
    <w:basedOn w:val="Normal"/>
    <w:next w:val="Textoindependiente"/>
    <w:rsid w:val="005B67F5"/>
    <w:pPr>
      <w:keepNext/>
      <w:keepLines/>
      <w:numPr>
        <w:numId w:val="4"/>
      </w:numPr>
      <w:suppressAutoHyphens/>
      <w:spacing w:before="360"/>
    </w:pPr>
    <w:rPr>
      <w:rFonts w:ascii="Arial" w:hAnsi="Arial" w:cs="Times New Roman"/>
      <w:b/>
    </w:rPr>
  </w:style>
  <w:style w:type="paragraph" w:styleId="Textoindependiente">
    <w:name w:val="Body Text"/>
    <w:basedOn w:val="Normal"/>
    <w:link w:val="TextoindependienteCar"/>
    <w:uiPriority w:val="99"/>
    <w:unhideWhenUsed/>
    <w:rsid w:val="005B67F5"/>
  </w:style>
  <w:style w:type="character" w:customStyle="1" w:styleId="TextoindependienteCar">
    <w:name w:val="Texto independiente Car"/>
    <w:basedOn w:val="Fuentedeprrafopredeter"/>
    <w:link w:val="Textoindependiente"/>
    <w:uiPriority w:val="99"/>
    <w:rsid w:val="005B67F5"/>
    <w:rPr>
      <w:sz w:val="20"/>
    </w:rPr>
  </w:style>
  <w:style w:type="numbering" w:customStyle="1" w:styleId="ListaLetras">
    <w:name w:val="Lista Letras"/>
    <w:basedOn w:val="Sinlista"/>
    <w:rsid w:val="005B67F5"/>
    <w:pPr>
      <w:numPr>
        <w:numId w:val="5"/>
      </w:numPr>
    </w:pPr>
  </w:style>
  <w:style w:type="paragraph" w:styleId="NormalWeb">
    <w:name w:val="Normal (Web)"/>
    <w:basedOn w:val="Normal"/>
    <w:uiPriority w:val="99"/>
    <w:unhideWhenUsed/>
    <w:rsid w:val="005B67F5"/>
    <w:pPr>
      <w:spacing w:before="100" w:beforeAutospacing="1" w:after="100" w:afterAutospacing="1"/>
      <w:jc w:val="left"/>
    </w:pPr>
    <w:rPr>
      <w:rFonts w:asciiTheme="minorHAnsi" w:hAnsiTheme="minorHAnsi" w:cs="Times New Roman"/>
      <w:lang w:eastAsia="es-CL"/>
    </w:rPr>
  </w:style>
  <w:style w:type="character" w:customStyle="1" w:styleId="PrrafodelistaCar">
    <w:name w:val="Párrafo de lista Car"/>
    <w:basedOn w:val="Fuentedeprrafopredeter"/>
    <w:link w:val="Prrafodelista"/>
    <w:uiPriority w:val="34"/>
    <w:locked/>
    <w:rsid w:val="005B67F5"/>
    <w:rPr>
      <w:sz w:val="20"/>
    </w:rPr>
  </w:style>
  <w:style w:type="table" w:customStyle="1" w:styleId="Tabladecuadrcula4-nfasis21">
    <w:name w:val="Tabla de cuadrícula 4 - Énfasis 21"/>
    <w:basedOn w:val="Tablanormal"/>
    <w:uiPriority w:val="49"/>
    <w:rsid w:val="008F5A80"/>
    <w:pPr>
      <w:spacing w:after="0" w:line="240" w:lineRule="auto"/>
    </w:pPr>
    <w:tblPr>
      <w:tblStyleRowBandSize w:val="1"/>
      <w:tblStyleColBandSize w:val="1"/>
      <w:tblBorders>
        <w:top w:val="single" w:sz="4" w:space="0" w:color="73DCD2" w:themeColor="accent2" w:themeTint="99"/>
        <w:left w:val="single" w:sz="4" w:space="0" w:color="73DCD2" w:themeColor="accent2" w:themeTint="99"/>
        <w:bottom w:val="single" w:sz="4" w:space="0" w:color="73DCD2" w:themeColor="accent2" w:themeTint="99"/>
        <w:right w:val="single" w:sz="4" w:space="0" w:color="73DCD2" w:themeColor="accent2" w:themeTint="99"/>
        <w:insideH w:val="single" w:sz="4" w:space="0" w:color="73DCD2" w:themeColor="accent2" w:themeTint="99"/>
        <w:insideV w:val="single" w:sz="4" w:space="0" w:color="73DCD2" w:themeColor="accent2" w:themeTint="99"/>
      </w:tblBorders>
    </w:tblPr>
    <w:tblStylePr w:type="firstRow">
      <w:rPr>
        <w:b/>
        <w:bCs/>
        <w:color w:val="007DB1" w:themeColor="background1"/>
      </w:rPr>
      <w:tblPr/>
      <w:tcPr>
        <w:tcBorders>
          <w:top w:val="single" w:sz="4" w:space="0" w:color="2CAFA4" w:themeColor="accent2"/>
          <w:left w:val="single" w:sz="4" w:space="0" w:color="2CAFA4" w:themeColor="accent2"/>
          <w:bottom w:val="single" w:sz="4" w:space="0" w:color="2CAFA4" w:themeColor="accent2"/>
          <w:right w:val="single" w:sz="4" w:space="0" w:color="2CAFA4" w:themeColor="accent2"/>
          <w:insideH w:val="nil"/>
          <w:insideV w:val="nil"/>
        </w:tcBorders>
        <w:shd w:val="clear" w:color="auto" w:fill="2CAFA4" w:themeFill="accent2"/>
      </w:tcPr>
    </w:tblStylePr>
    <w:tblStylePr w:type="lastRow">
      <w:rPr>
        <w:b/>
        <w:bCs/>
      </w:rPr>
      <w:tblPr/>
      <w:tcPr>
        <w:tcBorders>
          <w:top w:val="double" w:sz="4" w:space="0" w:color="2CAFA4" w:themeColor="accent2"/>
        </w:tcBorders>
      </w:tcPr>
    </w:tblStylePr>
    <w:tblStylePr w:type="firstCol">
      <w:rPr>
        <w:b/>
        <w:bCs/>
      </w:rPr>
    </w:tblStylePr>
    <w:tblStylePr w:type="lastCol">
      <w:rPr>
        <w:b/>
        <w:bCs/>
      </w:rPr>
    </w:tblStylePr>
    <w:tblStylePr w:type="band1Vert">
      <w:tblPr/>
      <w:tcPr>
        <w:shd w:val="clear" w:color="auto" w:fill="D0F3F0" w:themeFill="accent2" w:themeFillTint="33"/>
      </w:tcPr>
    </w:tblStylePr>
    <w:tblStylePr w:type="band1Horz">
      <w:tblPr/>
      <w:tcPr>
        <w:shd w:val="clear" w:color="auto" w:fill="D0F3F0" w:themeFill="accent2" w:themeFillTint="33"/>
      </w:tcPr>
    </w:tblStylePr>
  </w:style>
  <w:style w:type="table" w:customStyle="1" w:styleId="Tabladelista3-nfasis21">
    <w:name w:val="Tabla de lista 3 - Énfasis 21"/>
    <w:basedOn w:val="Tablanormal"/>
    <w:uiPriority w:val="48"/>
    <w:rsid w:val="008F5A80"/>
    <w:pPr>
      <w:spacing w:after="0" w:line="240" w:lineRule="auto"/>
    </w:pPr>
    <w:tblPr>
      <w:tblStyleRowBandSize w:val="1"/>
      <w:tblStyleColBandSize w:val="1"/>
      <w:tblBorders>
        <w:top w:val="single" w:sz="4" w:space="0" w:color="2CAFA4" w:themeColor="accent2"/>
        <w:left w:val="single" w:sz="4" w:space="0" w:color="2CAFA4" w:themeColor="accent2"/>
        <w:bottom w:val="single" w:sz="4" w:space="0" w:color="2CAFA4" w:themeColor="accent2"/>
        <w:right w:val="single" w:sz="4" w:space="0" w:color="2CAFA4" w:themeColor="accent2"/>
      </w:tblBorders>
    </w:tblPr>
    <w:tblStylePr w:type="firstRow">
      <w:rPr>
        <w:b/>
        <w:bCs/>
        <w:color w:val="007DB1" w:themeColor="background1"/>
      </w:rPr>
      <w:tblPr/>
      <w:tcPr>
        <w:shd w:val="clear" w:color="auto" w:fill="2CAFA4" w:themeFill="accent2"/>
      </w:tcPr>
    </w:tblStylePr>
    <w:tblStylePr w:type="lastRow">
      <w:rPr>
        <w:b/>
        <w:bCs/>
      </w:rPr>
      <w:tblPr/>
      <w:tcPr>
        <w:tcBorders>
          <w:top w:val="double" w:sz="4" w:space="0" w:color="2CAFA4" w:themeColor="accent2"/>
        </w:tcBorders>
        <w:shd w:val="clear" w:color="auto" w:fill="007DB1" w:themeFill="background1"/>
      </w:tcPr>
    </w:tblStylePr>
    <w:tblStylePr w:type="firstCol">
      <w:rPr>
        <w:b/>
        <w:bCs/>
      </w:rPr>
      <w:tblPr/>
      <w:tcPr>
        <w:tcBorders>
          <w:right w:val="nil"/>
        </w:tcBorders>
        <w:shd w:val="clear" w:color="auto" w:fill="007DB1" w:themeFill="background1"/>
      </w:tcPr>
    </w:tblStylePr>
    <w:tblStylePr w:type="lastCol">
      <w:rPr>
        <w:b/>
        <w:bCs/>
      </w:rPr>
      <w:tblPr/>
      <w:tcPr>
        <w:tcBorders>
          <w:left w:val="nil"/>
        </w:tcBorders>
        <w:shd w:val="clear" w:color="auto" w:fill="007DB1" w:themeFill="background1"/>
      </w:tcPr>
    </w:tblStylePr>
    <w:tblStylePr w:type="band1Vert">
      <w:tblPr/>
      <w:tcPr>
        <w:tcBorders>
          <w:left w:val="single" w:sz="4" w:space="0" w:color="2CAFA4" w:themeColor="accent2"/>
          <w:right w:val="single" w:sz="4" w:space="0" w:color="2CAFA4" w:themeColor="accent2"/>
        </w:tcBorders>
      </w:tcPr>
    </w:tblStylePr>
    <w:tblStylePr w:type="band1Horz">
      <w:tblPr/>
      <w:tcPr>
        <w:tcBorders>
          <w:top w:val="single" w:sz="4" w:space="0" w:color="2CAFA4" w:themeColor="accent2"/>
          <w:bottom w:val="single" w:sz="4" w:space="0" w:color="2CAFA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AFA4" w:themeColor="accent2"/>
          <w:left w:val="nil"/>
        </w:tcBorders>
      </w:tcPr>
    </w:tblStylePr>
    <w:tblStylePr w:type="swCell">
      <w:tblPr/>
      <w:tcPr>
        <w:tcBorders>
          <w:top w:val="double" w:sz="4" w:space="0" w:color="2CAFA4" w:themeColor="accent2"/>
          <w:right w:val="nil"/>
        </w:tcBorders>
      </w:tcPr>
    </w:tblStylePr>
  </w:style>
  <w:style w:type="paragraph" w:styleId="Textodeglobo">
    <w:name w:val="Balloon Text"/>
    <w:basedOn w:val="Normal"/>
    <w:link w:val="TextodegloboCar"/>
    <w:uiPriority w:val="99"/>
    <w:semiHidden/>
    <w:unhideWhenUsed/>
    <w:rsid w:val="002177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74D"/>
    <w:rPr>
      <w:rFonts w:ascii="Segoe UI" w:hAnsi="Segoe UI" w:cs="Segoe UI"/>
      <w:sz w:val="18"/>
      <w:szCs w:val="18"/>
    </w:rPr>
  </w:style>
  <w:style w:type="paragraph" w:styleId="Sinespaciado">
    <w:name w:val="No Spacing"/>
    <w:link w:val="SinespaciadoCar"/>
    <w:uiPriority w:val="1"/>
    <w:qFormat/>
    <w:rsid w:val="00B34806"/>
    <w:pPr>
      <w:spacing w:after="0" w:line="240" w:lineRule="auto"/>
    </w:pPr>
    <w:rPr>
      <w:rFonts w:asciiTheme="minorHAnsi" w:eastAsiaTheme="minorEastAsia" w:hAnsiTheme="minorHAnsi"/>
      <w:lang w:eastAsia="es-CL"/>
    </w:rPr>
  </w:style>
  <w:style w:type="character" w:customStyle="1" w:styleId="SinespaciadoCar">
    <w:name w:val="Sin espaciado Car"/>
    <w:basedOn w:val="Fuentedeprrafopredeter"/>
    <w:link w:val="Sinespaciado"/>
    <w:uiPriority w:val="1"/>
    <w:rsid w:val="00B34806"/>
    <w:rPr>
      <w:rFonts w:asciiTheme="minorHAnsi" w:eastAsiaTheme="minorEastAsia" w:hAnsiTheme="minorHAnsi"/>
      <w:lang w:eastAsia="es-CL"/>
    </w:rPr>
  </w:style>
  <w:style w:type="paragraph" w:customStyle="1" w:styleId="Default">
    <w:name w:val="Default"/>
    <w:rsid w:val="00A40C24"/>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semiHidden/>
    <w:unhideWhenUsed/>
    <w:rsid w:val="00974B9C"/>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974B9C"/>
    <w:rPr>
      <w:rFonts w:ascii="DIN" w:eastAsia="Times New Roman" w:hAnsi="DIN" w:cs="Arial"/>
      <w:sz w:val="20"/>
      <w:szCs w:val="20"/>
    </w:rPr>
  </w:style>
  <w:style w:type="character" w:styleId="Refdenotaalpie">
    <w:name w:val="footnote reference"/>
    <w:basedOn w:val="Fuentedeprrafopredeter"/>
    <w:uiPriority w:val="99"/>
    <w:semiHidden/>
    <w:unhideWhenUsed/>
    <w:rsid w:val="00974B9C"/>
    <w:rPr>
      <w:vertAlign w:val="superscript"/>
    </w:rPr>
  </w:style>
  <w:style w:type="character" w:styleId="Refdecomentario">
    <w:name w:val="annotation reference"/>
    <w:basedOn w:val="Fuentedeprrafopredeter"/>
    <w:uiPriority w:val="99"/>
    <w:semiHidden/>
    <w:unhideWhenUsed/>
    <w:rsid w:val="00420978"/>
    <w:rPr>
      <w:sz w:val="16"/>
      <w:szCs w:val="16"/>
    </w:rPr>
  </w:style>
  <w:style w:type="paragraph" w:styleId="Textocomentario">
    <w:name w:val="annotation text"/>
    <w:basedOn w:val="Normal"/>
    <w:link w:val="TextocomentarioCar"/>
    <w:uiPriority w:val="99"/>
    <w:semiHidden/>
    <w:unhideWhenUsed/>
    <w:rsid w:val="004209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0978"/>
    <w:rPr>
      <w:rFonts w:ascii="DIN" w:eastAsia="Times New Roman" w:hAnsi="DIN" w:cs="Arial"/>
      <w:sz w:val="20"/>
      <w:szCs w:val="20"/>
    </w:rPr>
  </w:style>
  <w:style w:type="paragraph" w:styleId="Asuntodelcomentario">
    <w:name w:val="annotation subject"/>
    <w:basedOn w:val="Textocomentario"/>
    <w:next w:val="Textocomentario"/>
    <w:link w:val="AsuntodelcomentarioCar"/>
    <w:uiPriority w:val="99"/>
    <w:semiHidden/>
    <w:unhideWhenUsed/>
    <w:rsid w:val="00420978"/>
    <w:rPr>
      <w:b/>
      <w:bCs/>
    </w:rPr>
  </w:style>
  <w:style w:type="character" w:customStyle="1" w:styleId="AsuntodelcomentarioCar">
    <w:name w:val="Asunto del comentario Car"/>
    <w:basedOn w:val="TextocomentarioCar"/>
    <w:link w:val="Asuntodelcomentario"/>
    <w:uiPriority w:val="99"/>
    <w:semiHidden/>
    <w:rsid w:val="00420978"/>
    <w:rPr>
      <w:rFonts w:ascii="DIN" w:eastAsia="Times New Roman" w:hAnsi="DIN" w:cs="Arial"/>
      <w:b/>
      <w:bCs/>
      <w:sz w:val="20"/>
      <w:szCs w:val="20"/>
    </w:rPr>
  </w:style>
  <w:style w:type="table" w:styleId="Listaclara-nfasis1">
    <w:name w:val="Light List Accent 1"/>
    <w:basedOn w:val="Tablanormal"/>
    <w:uiPriority w:val="61"/>
    <w:rsid w:val="00B80932"/>
    <w:pPr>
      <w:spacing w:after="0" w:line="240" w:lineRule="auto"/>
    </w:pPr>
    <w:rPr>
      <w:rFonts w:asciiTheme="minorHAnsi" w:eastAsia="Calibri" w:hAnsiTheme="minorHAnsi"/>
    </w:rPr>
    <w:tblPr>
      <w:tblStyleRowBandSize w:val="1"/>
      <w:tblStyleColBandSize w:val="1"/>
      <w:tblBorders>
        <w:top w:val="single" w:sz="8" w:space="0" w:color="00AEC5" w:themeColor="accent1"/>
        <w:left w:val="single" w:sz="8" w:space="0" w:color="00AEC5" w:themeColor="accent1"/>
        <w:bottom w:val="single" w:sz="8" w:space="0" w:color="00AEC5" w:themeColor="accent1"/>
        <w:right w:val="single" w:sz="8" w:space="0" w:color="00AEC5" w:themeColor="accent1"/>
      </w:tblBorders>
    </w:tblPr>
    <w:tblStylePr w:type="firstRow">
      <w:pPr>
        <w:spacing w:before="0" w:after="0" w:line="240" w:lineRule="auto"/>
      </w:pPr>
      <w:rPr>
        <w:b/>
        <w:bCs/>
        <w:color w:val="007DB1" w:themeColor="background1"/>
      </w:rPr>
      <w:tblPr/>
      <w:tcPr>
        <w:shd w:val="clear" w:color="auto" w:fill="00AEC5" w:themeFill="accent1"/>
      </w:tcPr>
    </w:tblStylePr>
    <w:tblStylePr w:type="lastRow">
      <w:pPr>
        <w:spacing w:before="0" w:after="0" w:line="240" w:lineRule="auto"/>
      </w:pPr>
      <w:rPr>
        <w:b/>
        <w:bCs/>
      </w:rPr>
      <w:tblPr/>
      <w:tcPr>
        <w:tcBorders>
          <w:top w:val="double" w:sz="6" w:space="0" w:color="00AEC5" w:themeColor="accent1"/>
          <w:left w:val="single" w:sz="8" w:space="0" w:color="00AEC5" w:themeColor="accent1"/>
          <w:bottom w:val="single" w:sz="8" w:space="0" w:color="00AEC5" w:themeColor="accent1"/>
          <w:right w:val="single" w:sz="8" w:space="0" w:color="00AEC5" w:themeColor="accent1"/>
        </w:tcBorders>
      </w:tcPr>
    </w:tblStylePr>
    <w:tblStylePr w:type="firstCol">
      <w:rPr>
        <w:b/>
        <w:bCs/>
      </w:rPr>
    </w:tblStylePr>
    <w:tblStylePr w:type="lastCol">
      <w:rPr>
        <w:b/>
        <w:bCs/>
      </w:rPr>
    </w:tblStylePr>
    <w:tblStylePr w:type="band1Vert">
      <w:tblPr/>
      <w:tcPr>
        <w:tcBorders>
          <w:top w:val="single" w:sz="8" w:space="0" w:color="00AEC5" w:themeColor="accent1"/>
          <w:left w:val="single" w:sz="8" w:space="0" w:color="00AEC5" w:themeColor="accent1"/>
          <w:bottom w:val="single" w:sz="8" w:space="0" w:color="00AEC5" w:themeColor="accent1"/>
          <w:right w:val="single" w:sz="8" w:space="0" w:color="00AEC5" w:themeColor="accent1"/>
        </w:tcBorders>
      </w:tcPr>
    </w:tblStylePr>
    <w:tblStylePr w:type="band1Horz">
      <w:tblPr/>
      <w:tcPr>
        <w:tcBorders>
          <w:top w:val="single" w:sz="8" w:space="0" w:color="00AEC5" w:themeColor="accent1"/>
          <w:left w:val="single" w:sz="8" w:space="0" w:color="00AEC5" w:themeColor="accent1"/>
          <w:bottom w:val="single" w:sz="8" w:space="0" w:color="00AEC5" w:themeColor="accent1"/>
          <w:right w:val="single" w:sz="8" w:space="0" w:color="00AEC5" w:themeColor="accent1"/>
        </w:tcBorders>
      </w:tcPr>
    </w:tblStylePr>
  </w:style>
  <w:style w:type="table" w:styleId="Listaclara-nfasis2">
    <w:name w:val="Light List Accent 2"/>
    <w:basedOn w:val="Tablanormal"/>
    <w:uiPriority w:val="61"/>
    <w:rsid w:val="00AD0C2A"/>
    <w:pPr>
      <w:spacing w:after="0" w:line="240" w:lineRule="auto"/>
    </w:pPr>
    <w:tblPr>
      <w:tblStyleRowBandSize w:val="1"/>
      <w:tblStyleColBandSize w:val="1"/>
      <w:tblBorders>
        <w:top w:val="single" w:sz="8" w:space="0" w:color="2CAFA4" w:themeColor="accent2"/>
        <w:left w:val="single" w:sz="8" w:space="0" w:color="2CAFA4" w:themeColor="accent2"/>
        <w:bottom w:val="single" w:sz="8" w:space="0" w:color="2CAFA4" w:themeColor="accent2"/>
        <w:right w:val="single" w:sz="8" w:space="0" w:color="2CAFA4" w:themeColor="accent2"/>
      </w:tblBorders>
    </w:tblPr>
    <w:tblStylePr w:type="firstRow">
      <w:pPr>
        <w:spacing w:before="0" w:after="0" w:line="240" w:lineRule="auto"/>
      </w:pPr>
      <w:rPr>
        <w:b/>
        <w:bCs/>
        <w:color w:val="007DB1" w:themeColor="background1"/>
      </w:rPr>
      <w:tblPr/>
      <w:tcPr>
        <w:shd w:val="clear" w:color="auto" w:fill="2CAFA4" w:themeFill="accent2"/>
      </w:tcPr>
    </w:tblStylePr>
    <w:tblStylePr w:type="lastRow">
      <w:pPr>
        <w:spacing w:before="0" w:after="0" w:line="240" w:lineRule="auto"/>
      </w:pPr>
      <w:rPr>
        <w:b/>
        <w:bCs/>
      </w:rPr>
      <w:tblPr/>
      <w:tcPr>
        <w:tcBorders>
          <w:top w:val="double" w:sz="6" w:space="0" w:color="2CAFA4" w:themeColor="accent2"/>
          <w:left w:val="single" w:sz="8" w:space="0" w:color="2CAFA4" w:themeColor="accent2"/>
          <w:bottom w:val="single" w:sz="8" w:space="0" w:color="2CAFA4" w:themeColor="accent2"/>
          <w:right w:val="single" w:sz="8" w:space="0" w:color="2CAFA4" w:themeColor="accent2"/>
        </w:tcBorders>
      </w:tcPr>
    </w:tblStylePr>
    <w:tblStylePr w:type="firstCol">
      <w:rPr>
        <w:b/>
        <w:bCs/>
      </w:rPr>
    </w:tblStylePr>
    <w:tblStylePr w:type="lastCol">
      <w:rPr>
        <w:b/>
        <w:bCs/>
      </w:rPr>
    </w:tblStylePr>
    <w:tblStylePr w:type="band1Vert">
      <w:tblPr/>
      <w:tcPr>
        <w:tcBorders>
          <w:top w:val="single" w:sz="8" w:space="0" w:color="2CAFA4" w:themeColor="accent2"/>
          <w:left w:val="single" w:sz="8" w:space="0" w:color="2CAFA4" w:themeColor="accent2"/>
          <w:bottom w:val="single" w:sz="8" w:space="0" w:color="2CAFA4" w:themeColor="accent2"/>
          <w:right w:val="single" w:sz="8" w:space="0" w:color="2CAFA4" w:themeColor="accent2"/>
        </w:tcBorders>
      </w:tcPr>
    </w:tblStylePr>
    <w:tblStylePr w:type="band1Horz">
      <w:tblPr/>
      <w:tcPr>
        <w:tcBorders>
          <w:top w:val="single" w:sz="8" w:space="0" w:color="2CAFA4" w:themeColor="accent2"/>
          <w:left w:val="single" w:sz="8" w:space="0" w:color="2CAFA4" w:themeColor="accent2"/>
          <w:bottom w:val="single" w:sz="8" w:space="0" w:color="2CAFA4" w:themeColor="accent2"/>
          <w:right w:val="single" w:sz="8" w:space="0" w:color="2CAFA4" w:themeColor="accent2"/>
        </w:tcBorders>
      </w:tcPr>
    </w:tblStylePr>
  </w:style>
  <w:style w:type="table" w:styleId="Tablaconcuadrcula">
    <w:name w:val="Table Grid"/>
    <w:basedOn w:val="Tablanormal"/>
    <w:rsid w:val="00AD0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760824"/>
    <w:pPr>
      <w:spacing w:before="0"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60824"/>
    <w:rPr>
      <w:rFonts w:ascii="DIN" w:eastAsia="Times New Roman" w:hAnsi="DIN" w:cs="Arial"/>
      <w:sz w:val="20"/>
      <w:szCs w:val="20"/>
    </w:rPr>
  </w:style>
  <w:style w:type="character" w:styleId="Refdenotaalfinal">
    <w:name w:val="endnote reference"/>
    <w:basedOn w:val="Fuentedeprrafopredeter"/>
    <w:uiPriority w:val="99"/>
    <w:semiHidden/>
    <w:unhideWhenUsed/>
    <w:rsid w:val="00760824"/>
    <w:rPr>
      <w:vertAlign w:val="superscript"/>
    </w:rPr>
  </w:style>
  <w:style w:type="table" w:styleId="Listaclara-nfasis3">
    <w:name w:val="Light List Accent 3"/>
    <w:basedOn w:val="Tablanormal"/>
    <w:uiPriority w:val="61"/>
    <w:rsid w:val="006432EE"/>
    <w:pPr>
      <w:spacing w:after="0" w:line="240" w:lineRule="auto"/>
    </w:pPr>
    <w:tblPr>
      <w:tblStyleRowBandSize w:val="1"/>
      <w:tblStyleColBandSize w:val="1"/>
      <w:tblBorders>
        <w:top w:val="single" w:sz="8" w:space="0" w:color="00AF85" w:themeColor="accent3"/>
        <w:left w:val="single" w:sz="8" w:space="0" w:color="00AF85" w:themeColor="accent3"/>
        <w:bottom w:val="single" w:sz="8" w:space="0" w:color="00AF85" w:themeColor="accent3"/>
        <w:right w:val="single" w:sz="8" w:space="0" w:color="00AF85" w:themeColor="accent3"/>
      </w:tblBorders>
    </w:tblPr>
    <w:tblStylePr w:type="firstRow">
      <w:pPr>
        <w:spacing w:before="0" w:after="0" w:line="240" w:lineRule="auto"/>
      </w:pPr>
      <w:rPr>
        <w:b/>
        <w:bCs/>
        <w:color w:val="007DB1" w:themeColor="background1"/>
      </w:rPr>
      <w:tblPr/>
      <w:tcPr>
        <w:shd w:val="clear" w:color="auto" w:fill="00AF85" w:themeFill="accent3"/>
      </w:tcPr>
    </w:tblStylePr>
    <w:tblStylePr w:type="lastRow">
      <w:pPr>
        <w:spacing w:before="0" w:after="0" w:line="240" w:lineRule="auto"/>
      </w:pPr>
      <w:rPr>
        <w:b/>
        <w:bCs/>
      </w:rPr>
      <w:tblPr/>
      <w:tcPr>
        <w:tcBorders>
          <w:top w:val="double" w:sz="6" w:space="0" w:color="00AF85" w:themeColor="accent3"/>
          <w:left w:val="single" w:sz="8" w:space="0" w:color="00AF85" w:themeColor="accent3"/>
          <w:bottom w:val="single" w:sz="8" w:space="0" w:color="00AF85" w:themeColor="accent3"/>
          <w:right w:val="single" w:sz="8" w:space="0" w:color="00AF85" w:themeColor="accent3"/>
        </w:tcBorders>
      </w:tcPr>
    </w:tblStylePr>
    <w:tblStylePr w:type="firstCol">
      <w:rPr>
        <w:b/>
        <w:bCs/>
      </w:rPr>
    </w:tblStylePr>
    <w:tblStylePr w:type="lastCol">
      <w:rPr>
        <w:b/>
        <w:bCs/>
      </w:rPr>
    </w:tblStylePr>
    <w:tblStylePr w:type="band1Vert">
      <w:tblPr/>
      <w:tcPr>
        <w:tcBorders>
          <w:top w:val="single" w:sz="8" w:space="0" w:color="00AF85" w:themeColor="accent3"/>
          <w:left w:val="single" w:sz="8" w:space="0" w:color="00AF85" w:themeColor="accent3"/>
          <w:bottom w:val="single" w:sz="8" w:space="0" w:color="00AF85" w:themeColor="accent3"/>
          <w:right w:val="single" w:sz="8" w:space="0" w:color="00AF85" w:themeColor="accent3"/>
        </w:tcBorders>
      </w:tcPr>
    </w:tblStylePr>
    <w:tblStylePr w:type="band1Horz">
      <w:tblPr/>
      <w:tcPr>
        <w:tcBorders>
          <w:top w:val="single" w:sz="8" w:space="0" w:color="00AF85" w:themeColor="accent3"/>
          <w:left w:val="single" w:sz="8" w:space="0" w:color="00AF85" w:themeColor="accent3"/>
          <w:bottom w:val="single" w:sz="8" w:space="0" w:color="00AF85" w:themeColor="accent3"/>
          <w:right w:val="single" w:sz="8" w:space="0" w:color="00AF85" w:themeColor="accent3"/>
        </w:tcBorders>
      </w:tcPr>
    </w:tblStylePr>
  </w:style>
  <w:style w:type="paragraph" w:customStyle="1" w:styleId="ListadoconVieta">
    <w:name w:val="Listado con Viñeta"/>
    <w:basedOn w:val="Normal"/>
    <w:qFormat/>
    <w:rsid w:val="00FC2DE4"/>
    <w:pPr>
      <w:keepLines/>
      <w:numPr>
        <w:ilvl w:val="1"/>
        <w:numId w:val="28"/>
      </w:numPr>
      <w:spacing w:before="0"/>
    </w:pPr>
    <w:rPr>
      <w:rFonts w:ascii="Calibri" w:eastAsia="Calibri" w:hAnsi="Calibri"/>
      <w:szCs w:val="22"/>
    </w:rPr>
  </w:style>
  <w:style w:type="paragraph" w:customStyle="1" w:styleId="ListadoconLetras">
    <w:name w:val="Listado con Letras"/>
    <w:basedOn w:val="Normal"/>
    <w:autoRedefine/>
    <w:qFormat/>
    <w:rsid w:val="00FC2DE4"/>
    <w:pPr>
      <w:keepNext/>
      <w:keepLines/>
      <w:spacing w:before="0" w:after="60"/>
      <w:ind w:left="510" w:hanging="226"/>
    </w:pPr>
    <w:rPr>
      <w:rFonts w:ascii="Calibri" w:eastAsia="Calibri" w:hAnsi="Calibri" w:cs="Times New Roman"/>
      <w:b/>
      <w:szCs w:val="22"/>
      <w:lang w:val="es-CO"/>
    </w:rPr>
  </w:style>
  <w:style w:type="table" w:styleId="Listaclara-nfasis4">
    <w:name w:val="Light List Accent 4"/>
    <w:basedOn w:val="Tablanormal"/>
    <w:uiPriority w:val="61"/>
    <w:rsid w:val="006902CB"/>
    <w:pPr>
      <w:spacing w:after="0" w:line="240" w:lineRule="auto"/>
    </w:pPr>
    <w:tblPr>
      <w:tblStyleRowBandSize w:val="1"/>
      <w:tblStyleColBandSize w:val="1"/>
      <w:tblBorders>
        <w:top w:val="single" w:sz="8" w:space="0" w:color="6CB33F" w:themeColor="accent4"/>
        <w:left w:val="single" w:sz="8" w:space="0" w:color="6CB33F" w:themeColor="accent4"/>
        <w:bottom w:val="single" w:sz="8" w:space="0" w:color="6CB33F" w:themeColor="accent4"/>
        <w:right w:val="single" w:sz="8" w:space="0" w:color="6CB33F" w:themeColor="accent4"/>
      </w:tblBorders>
    </w:tblPr>
    <w:tblStylePr w:type="firstRow">
      <w:pPr>
        <w:spacing w:before="0" w:after="0" w:line="240" w:lineRule="auto"/>
      </w:pPr>
      <w:rPr>
        <w:b/>
        <w:bCs/>
        <w:color w:val="007DB1" w:themeColor="background1"/>
      </w:rPr>
      <w:tblPr/>
      <w:tcPr>
        <w:shd w:val="clear" w:color="auto" w:fill="6CB33F" w:themeFill="accent4"/>
      </w:tcPr>
    </w:tblStylePr>
    <w:tblStylePr w:type="lastRow">
      <w:pPr>
        <w:spacing w:before="0" w:after="0" w:line="240" w:lineRule="auto"/>
      </w:pPr>
      <w:rPr>
        <w:b/>
        <w:bCs/>
      </w:rPr>
      <w:tblPr/>
      <w:tcPr>
        <w:tcBorders>
          <w:top w:val="double" w:sz="6" w:space="0" w:color="6CB33F" w:themeColor="accent4"/>
          <w:left w:val="single" w:sz="8" w:space="0" w:color="6CB33F" w:themeColor="accent4"/>
          <w:bottom w:val="single" w:sz="8" w:space="0" w:color="6CB33F" w:themeColor="accent4"/>
          <w:right w:val="single" w:sz="8" w:space="0" w:color="6CB33F" w:themeColor="accent4"/>
        </w:tcBorders>
      </w:tcPr>
    </w:tblStylePr>
    <w:tblStylePr w:type="firstCol">
      <w:rPr>
        <w:b/>
        <w:bCs/>
      </w:rPr>
    </w:tblStylePr>
    <w:tblStylePr w:type="lastCol">
      <w:rPr>
        <w:b/>
        <w:bCs/>
      </w:rPr>
    </w:tblStylePr>
    <w:tblStylePr w:type="band1Vert">
      <w:tblPr/>
      <w:tcPr>
        <w:tcBorders>
          <w:top w:val="single" w:sz="8" w:space="0" w:color="6CB33F" w:themeColor="accent4"/>
          <w:left w:val="single" w:sz="8" w:space="0" w:color="6CB33F" w:themeColor="accent4"/>
          <w:bottom w:val="single" w:sz="8" w:space="0" w:color="6CB33F" w:themeColor="accent4"/>
          <w:right w:val="single" w:sz="8" w:space="0" w:color="6CB33F" w:themeColor="accent4"/>
        </w:tcBorders>
      </w:tcPr>
    </w:tblStylePr>
    <w:tblStylePr w:type="band1Horz">
      <w:tblPr/>
      <w:tcPr>
        <w:tcBorders>
          <w:top w:val="single" w:sz="8" w:space="0" w:color="6CB33F" w:themeColor="accent4"/>
          <w:left w:val="single" w:sz="8" w:space="0" w:color="6CB33F" w:themeColor="accent4"/>
          <w:bottom w:val="single" w:sz="8" w:space="0" w:color="6CB33F" w:themeColor="accent4"/>
          <w:right w:val="single" w:sz="8" w:space="0" w:color="6CB33F" w:themeColor="accent4"/>
        </w:tcBorders>
      </w:tcPr>
    </w:tblStylePr>
  </w:style>
  <w:style w:type="paragraph" w:styleId="Textosinformato">
    <w:name w:val="Plain Text"/>
    <w:basedOn w:val="Normal"/>
    <w:link w:val="TextosinformatoCar"/>
    <w:uiPriority w:val="99"/>
    <w:unhideWhenUsed/>
    <w:rsid w:val="00794017"/>
    <w:pPr>
      <w:spacing w:before="0" w:after="0" w:line="240" w:lineRule="auto"/>
      <w:jc w:val="left"/>
    </w:pPr>
    <w:rPr>
      <w:rFonts w:ascii="Calibri" w:eastAsiaTheme="minorHAnsi" w:hAnsi="Calibri" w:cstheme="minorBidi"/>
      <w:szCs w:val="21"/>
    </w:rPr>
  </w:style>
  <w:style w:type="character" w:customStyle="1" w:styleId="TextosinformatoCar">
    <w:name w:val="Texto sin formato Car"/>
    <w:basedOn w:val="Fuentedeprrafopredeter"/>
    <w:link w:val="Textosinformato"/>
    <w:uiPriority w:val="99"/>
    <w:rsid w:val="00794017"/>
    <w:rPr>
      <w:rFonts w:ascii="Calibri" w:hAnsi="Calibri"/>
      <w:szCs w:val="21"/>
    </w:rPr>
  </w:style>
  <w:style w:type="table" w:styleId="Tablaconcuadrcula4-nfasis1">
    <w:name w:val="Grid Table 4 Accent 1"/>
    <w:basedOn w:val="Tablanormal"/>
    <w:uiPriority w:val="49"/>
    <w:rsid w:val="003C2367"/>
    <w:pPr>
      <w:spacing w:after="0" w:line="240" w:lineRule="auto"/>
    </w:pPr>
    <w:rPr>
      <w:rFonts w:asciiTheme="minorHAnsi" w:hAnsiTheme="minorHAnsi"/>
    </w:rPr>
    <w:tblPr>
      <w:tblStyleRowBandSize w:val="1"/>
      <w:tblStyleColBandSize w:val="1"/>
      <w:tblBorders>
        <w:top w:val="single" w:sz="4" w:space="0" w:color="43E8FF" w:themeColor="accent1" w:themeTint="99"/>
        <w:left w:val="single" w:sz="4" w:space="0" w:color="43E8FF" w:themeColor="accent1" w:themeTint="99"/>
        <w:bottom w:val="single" w:sz="4" w:space="0" w:color="43E8FF" w:themeColor="accent1" w:themeTint="99"/>
        <w:right w:val="single" w:sz="4" w:space="0" w:color="43E8FF" w:themeColor="accent1" w:themeTint="99"/>
        <w:insideH w:val="single" w:sz="4" w:space="0" w:color="43E8FF" w:themeColor="accent1" w:themeTint="99"/>
        <w:insideV w:val="single" w:sz="4" w:space="0" w:color="43E8FF" w:themeColor="accent1" w:themeTint="99"/>
      </w:tblBorders>
    </w:tblPr>
    <w:tblStylePr w:type="firstRow">
      <w:rPr>
        <w:b/>
        <w:bCs/>
        <w:color w:val="007DB1" w:themeColor="background1"/>
      </w:rPr>
      <w:tblPr/>
      <w:tcPr>
        <w:tcBorders>
          <w:top w:val="single" w:sz="4" w:space="0" w:color="00AEC5" w:themeColor="accent1"/>
          <w:left w:val="single" w:sz="4" w:space="0" w:color="00AEC5" w:themeColor="accent1"/>
          <w:bottom w:val="single" w:sz="4" w:space="0" w:color="00AEC5" w:themeColor="accent1"/>
          <w:right w:val="single" w:sz="4" w:space="0" w:color="00AEC5" w:themeColor="accent1"/>
          <w:insideH w:val="nil"/>
          <w:insideV w:val="nil"/>
        </w:tcBorders>
        <w:shd w:val="clear" w:color="auto" w:fill="00AEC5" w:themeFill="accent1"/>
      </w:tcPr>
    </w:tblStylePr>
    <w:tblStylePr w:type="lastRow">
      <w:rPr>
        <w:b/>
        <w:bCs/>
      </w:rPr>
      <w:tblPr/>
      <w:tcPr>
        <w:tcBorders>
          <w:top w:val="double" w:sz="4" w:space="0" w:color="00AEC5" w:themeColor="accent1"/>
        </w:tcBorders>
      </w:tcPr>
    </w:tblStylePr>
    <w:tblStylePr w:type="firstCol">
      <w:rPr>
        <w:b/>
        <w:bCs/>
      </w:rPr>
    </w:tblStylePr>
    <w:tblStylePr w:type="lastCol">
      <w:rPr>
        <w:b/>
        <w:bCs/>
      </w:rPr>
    </w:tblStylePr>
    <w:tblStylePr w:type="band1Vert">
      <w:tblPr/>
      <w:tcPr>
        <w:shd w:val="clear" w:color="auto" w:fill="C0F7FF" w:themeFill="accent1" w:themeFillTint="33"/>
      </w:tcPr>
    </w:tblStylePr>
    <w:tblStylePr w:type="band1Horz">
      <w:tblPr/>
      <w:tcPr>
        <w:shd w:val="clear" w:color="auto" w:fill="C0F7F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8956">
      <w:bodyDiv w:val="1"/>
      <w:marLeft w:val="0"/>
      <w:marRight w:val="0"/>
      <w:marTop w:val="0"/>
      <w:marBottom w:val="0"/>
      <w:divBdr>
        <w:top w:val="none" w:sz="0" w:space="0" w:color="auto"/>
        <w:left w:val="none" w:sz="0" w:space="0" w:color="auto"/>
        <w:bottom w:val="none" w:sz="0" w:space="0" w:color="auto"/>
        <w:right w:val="none" w:sz="0" w:space="0" w:color="auto"/>
      </w:divBdr>
    </w:div>
    <w:div w:id="64112566">
      <w:bodyDiv w:val="1"/>
      <w:marLeft w:val="0"/>
      <w:marRight w:val="0"/>
      <w:marTop w:val="0"/>
      <w:marBottom w:val="0"/>
      <w:divBdr>
        <w:top w:val="none" w:sz="0" w:space="0" w:color="auto"/>
        <w:left w:val="none" w:sz="0" w:space="0" w:color="auto"/>
        <w:bottom w:val="none" w:sz="0" w:space="0" w:color="auto"/>
        <w:right w:val="none" w:sz="0" w:space="0" w:color="auto"/>
      </w:divBdr>
    </w:div>
    <w:div w:id="206183698">
      <w:bodyDiv w:val="1"/>
      <w:marLeft w:val="0"/>
      <w:marRight w:val="0"/>
      <w:marTop w:val="0"/>
      <w:marBottom w:val="0"/>
      <w:divBdr>
        <w:top w:val="none" w:sz="0" w:space="0" w:color="auto"/>
        <w:left w:val="none" w:sz="0" w:space="0" w:color="auto"/>
        <w:bottom w:val="none" w:sz="0" w:space="0" w:color="auto"/>
        <w:right w:val="none" w:sz="0" w:space="0" w:color="auto"/>
      </w:divBdr>
    </w:div>
    <w:div w:id="215239293">
      <w:bodyDiv w:val="1"/>
      <w:marLeft w:val="0"/>
      <w:marRight w:val="0"/>
      <w:marTop w:val="0"/>
      <w:marBottom w:val="0"/>
      <w:divBdr>
        <w:top w:val="none" w:sz="0" w:space="0" w:color="auto"/>
        <w:left w:val="none" w:sz="0" w:space="0" w:color="auto"/>
        <w:bottom w:val="none" w:sz="0" w:space="0" w:color="auto"/>
        <w:right w:val="none" w:sz="0" w:space="0" w:color="auto"/>
      </w:divBdr>
    </w:div>
    <w:div w:id="323752343">
      <w:bodyDiv w:val="1"/>
      <w:marLeft w:val="0"/>
      <w:marRight w:val="0"/>
      <w:marTop w:val="0"/>
      <w:marBottom w:val="0"/>
      <w:divBdr>
        <w:top w:val="none" w:sz="0" w:space="0" w:color="auto"/>
        <w:left w:val="none" w:sz="0" w:space="0" w:color="auto"/>
        <w:bottom w:val="none" w:sz="0" w:space="0" w:color="auto"/>
        <w:right w:val="none" w:sz="0" w:space="0" w:color="auto"/>
      </w:divBdr>
    </w:div>
    <w:div w:id="324747665">
      <w:bodyDiv w:val="1"/>
      <w:marLeft w:val="0"/>
      <w:marRight w:val="0"/>
      <w:marTop w:val="0"/>
      <w:marBottom w:val="0"/>
      <w:divBdr>
        <w:top w:val="none" w:sz="0" w:space="0" w:color="auto"/>
        <w:left w:val="none" w:sz="0" w:space="0" w:color="auto"/>
        <w:bottom w:val="none" w:sz="0" w:space="0" w:color="auto"/>
        <w:right w:val="none" w:sz="0" w:space="0" w:color="auto"/>
      </w:divBdr>
    </w:div>
    <w:div w:id="426972785">
      <w:bodyDiv w:val="1"/>
      <w:marLeft w:val="0"/>
      <w:marRight w:val="0"/>
      <w:marTop w:val="0"/>
      <w:marBottom w:val="0"/>
      <w:divBdr>
        <w:top w:val="none" w:sz="0" w:space="0" w:color="auto"/>
        <w:left w:val="none" w:sz="0" w:space="0" w:color="auto"/>
        <w:bottom w:val="none" w:sz="0" w:space="0" w:color="auto"/>
        <w:right w:val="none" w:sz="0" w:space="0" w:color="auto"/>
      </w:divBdr>
    </w:div>
    <w:div w:id="437944121">
      <w:bodyDiv w:val="1"/>
      <w:marLeft w:val="0"/>
      <w:marRight w:val="0"/>
      <w:marTop w:val="0"/>
      <w:marBottom w:val="0"/>
      <w:divBdr>
        <w:top w:val="none" w:sz="0" w:space="0" w:color="auto"/>
        <w:left w:val="none" w:sz="0" w:space="0" w:color="auto"/>
        <w:bottom w:val="none" w:sz="0" w:space="0" w:color="auto"/>
        <w:right w:val="none" w:sz="0" w:space="0" w:color="auto"/>
      </w:divBdr>
    </w:div>
    <w:div w:id="439106685">
      <w:bodyDiv w:val="1"/>
      <w:marLeft w:val="0"/>
      <w:marRight w:val="0"/>
      <w:marTop w:val="0"/>
      <w:marBottom w:val="0"/>
      <w:divBdr>
        <w:top w:val="none" w:sz="0" w:space="0" w:color="auto"/>
        <w:left w:val="none" w:sz="0" w:space="0" w:color="auto"/>
        <w:bottom w:val="none" w:sz="0" w:space="0" w:color="auto"/>
        <w:right w:val="none" w:sz="0" w:space="0" w:color="auto"/>
      </w:divBdr>
    </w:div>
    <w:div w:id="468402109">
      <w:bodyDiv w:val="1"/>
      <w:marLeft w:val="0"/>
      <w:marRight w:val="0"/>
      <w:marTop w:val="0"/>
      <w:marBottom w:val="0"/>
      <w:divBdr>
        <w:top w:val="none" w:sz="0" w:space="0" w:color="auto"/>
        <w:left w:val="none" w:sz="0" w:space="0" w:color="auto"/>
        <w:bottom w:val="none" w:sz="0" w:space="0" w:color="auto"/>
        <w:right w:val="none" w:sz="0" w:space="0" w:color="auto"/>
      </w:divBdr>
    </w:div>
    <w:div w:id="471337875">
      <w:bodyDiv w:val="1"/>
      <w:marLeft w:val="0"/>
      <w:marRight w:val="0"/>
      <w:marTop w:val="0"/>
      <w:marBottom w:val="0"/>
      <w:divBdr>
        <w:top w:val="none" w:sz="0" w:space="0" w:color="auto"/>
        <w:left w:val="none" w:sz="0" w:space="0" w:color="auto"/>
        <w:bottom w:val="none" w:sz="0" w:space="0" w:color="auto"/>
        <w:right w:val="none" w:sz="0" w:space="0" w:color="auto"/>
      </w:divBdr>
    </w:div>
    <w:div w:id="565149187">
      <w:bodyDiv w:val="1"/>
      <w:marLeft w:val="0"/>
      <w:marRight w:val="0"/>
      <w:marTop w:val="0"/>
      <w:marBottom w:val="0"/>
      <w:divBdr>
        <w:top w:val="none" w:sz="0" w:space="0" w:color="auto"/>
        <w:left w:val="none" w:sz="0" w:space="0" w:color="auto"/>
        <w:bottom w:val="none" w:sz="0" w:space="0" w:color="auto"/>
        <w:right w:val="none" w:sz="0" w:space="0" w:color="auto"/>
      </w:divBdr>
    </w:div>
    <w:div w:id="590699027">
      <w:bodyDiv w:val="1"/>
      <w:marLeft w:val="0"/>
      <w:marRight w:val="0"/>
      <w:marTop w:val="0"/>
      <w:marBottom w:val="0"/>
      <w:divBdr>
        <w:top w:val="none" w:sz="0" w:space="0" w:color="auto"/>
        <w:left w:val="none" w:sz="0" w:space="0" w:color="auto"/>
        <w:bottom w:val="none" w:sz="0" w:space="0" w:color="auto"/>
        <w:right w:val="none" w:sz="0" w:space="0" w:color="auto"/>
      </w:divBdr>
    </w:div>
    <w:div w:id="597178743">
      <w:bodyDiv w:val="1"/>
      <w:marLeft w:val="0"/>
      <w:marRight w:val="0"/>
      <w:marTop w:val="0"/>
      <w:marBottom w:val="0"/>
      <w:divBdr>
        <w:top w:val="none" w:sz="0" w:space="0" w:color="auto"/>
        <w:left w:val="none" w:sz="0" w:space="0" w:color="auto"/>
        <w:bottom w:val="none" w:sz="0" w:space="0" w:color="auto"/>
        <w:right w:val="none" w:sz="0" w:space="0" w:color="auto"/>
      </w:divBdr>
    </w:div>
    <w:div w:id="609707292">
      <w:bodyDiv w:val="1"/>
      <w:marLeft w:val="0"/>
      <w:marRight w:val="0"/>
      <w:marTop w:val="0"/>
      <w:marBottom w:val="0"/>
      <w:divBdr>
        <w:top w:val="none" w:sz="0" w:space="0" w:color="auto"/>
        <w:left w:val="none" w:sz="0" w:space="0" w:color="auto"/>
        <w:bottom w:val="none" w:sz="0" w:space="0" w:color="auto"/>
        <w:right w:val="none" w:sz="0" w:space="0" w:color="auto"/>
      </w:divBdr>
    </w:div>
    <w:div w:id="641350787">
      <w:bodyDiv w:val="1"/>
      <w:marLeft w:val="0"/>
      <w:marRight w:val="0"/>
      <w:marTop w:val="0"/>
      <w:marBottom w:val="0"/>
      <w:divBdr>
        <w:top w:val="none" w:sz="0" w:space="0" w:color="auto"/>
        <w:left w:val="none" w:sz="0" w:space="0" w:color="auto"/>
        <w:bottom w:val="none" w:sz="0" w:space="0" w:color="auto"/>
        <w:right w:val="none" w:sz="0" w:space="0" w:color="auto"/>
      </w:divBdr>
    </w:div>
    <w:div w:id="660428548">
      <w:bodyDiv w:val="1"/>
      <w:marLeft w:val="0"/>
      <w:marRight w:val="0"/>
      <w:marTop w:val="0"/>
      <w:marBottom w:val="0"/>
      <w:divBdr>
        <w:top w:val="none" w:sz="0" w:space="0" w:color="auto"/>
        <w:left w:val="none" w:sz="0" w:space="0" w:color="auto"/>
        <w:bottom w:val="none" w:sz="0" w:space="0" w:color="auto"/>
        <w:right w:val="none" w:sz="0" w:space="0" w:color="auto"/>
      </w:divBdr>
    </w:div>
    <w:div w:id="687487335">
      <w:bodyDiv w:val="1"/>
      <w:marLeft w:val="0"/>
      <w:marRight w:val="0"/>
      <w:marTop w:val="0"/>
      <w:marBottom w:val="0"/>
      <w:divBdr>
        <w:top w:val="none" w:sz="0" w:space="0" w:color="auto"/>
        <w:left w:val="none" w:sz="0" w:space="0" w:color="auto"/>
        <w:bottom w:val="none" w:sz="0" w:space="0" w:color="auto"/>
        <w:right w:val="none" w:sz="0" w:space="0" w:color="auto"/>
      </w:divBdr>
    </w:div>
    <w:div w:id="710031040">
      <w:bodyDiv w:val="1"/>
      <w:marLeft w:val="0"/>
      <w:marRight w:val="0"/>
      <w:marTop w:val="0"/>
      <w:marBottom w:val="0"/>
      <w:divBdr>
        <w:top w:val="none" w:sz="0" w:space="0" w:color="auto"/>
        <w:left w:val="none" w:sz="0" w:space="0" w:color="auto"/>
        <w:bottom w:val="none" w:sz="0" w:space="0" w:color="auto"/>
        <w:right w:val="none" w:sz="0" w:space="0" w:color="auto"/>
      </w:divBdr>
    </w:div>
    <w:div w:id="723721885">
      <w:bodyDiv w:val="1"/>
      <w:marLeft w:val="0"/>
      <w:marRight w:val="0"/>
      <w:marTop w:val="0"/>
      <w:marBottom w:val="0"/>
      <w:divBdr>
        <w:top w:val="none" w:sz="0" w:space="0" w:color="auto"/>
        <w:left w:val="none" w:sz="0" w:space="0" w:color="auto"/>
        <w:bottom w:val="none" w:sz="0" w:space="0" w:color="auto"/>
        <w:right w:val="none" w:sz="0" w:space="0" w:color="auto"/>
      </w:divBdr>
    </w:div>
    <w:div w:id="844907179">
      <w:bodyDiv w:val="1"/>
      <w:marLeft w:val="0"/>
      <w:marRight w:val="0"/>
      <w:marTop w:val="0"/>
      <w:marBottom w:val="0"/>
      <w:divBdr>
        <w:top w:val="none" w:sz="0" w:space="0" w:color="auto"/>
        <w:left w:val="none" w:sz="0" w:space="0" w:color="auto"/>
        <w:bottom w:val="none" w:sz="0" w:space="0" w:color="auto"/>
        <w:right w:val="none" w:sz="0" w:space="0" w:color="auto"/>
      </w:divBdr>
    </w:div>
    <w:div w:id="851072316">
      <w:bodyDiv w:val="1"/>
      <w:marLeft w:val="0"/>
      <w:marRight w:val="0"/>
      <w:marTop w:val="0"/>
      <w:marBottom w:val="0"/>
      <w:divBdr>
        <w:top w:val="none" w:sz="0" w:space="0" w:color="auto"/>
        <w:left w:val="none" w:sz="0" w:space="0" w:color="auto"/>
        <w:bottom w:val="none" w:sz="0" w:space="0" w:color="auto"/>
        <w:right w:val="none" w:sz="0" w:space="0" w:color="auto"/>
      </w:divBdr>
    </w:div>
    <w:div w:id="915163445">
      <w:bodyDiv w:val="1"/>
      <w:marLeft w:val="0"/>
      <w:marRight w:val="0"/>
      <w:marTop w:val="0"/>
      <w:marBottom w:val="0"/>
      <w:divBdr>
        <w:top w:val="none" w:sz="0" w:space="0" w:color="auto"/>
        <w:left w:val="none" w:sz="0" w:space="0" w:color="auto"/>
        <w:bottom w:val="none" w:sz="0" w:space="0" w:color="auto"/>
        <w:right w:val="none" w:sz="0" w:space="0" w:color="auto"/>
      </w:divBdr>
    </w:div>
    <w:div w:id="962807166">
      <w:bodyDiv w:val="1"/>
      <w:marLeft w:val="0"/>
      <w:marRight w:val="0"/>
      <w:marTop w:val="0"/>
      <w:marBottom w:val="0"/>
      <w:divBdr>
        <w:top w:val="none" w:sz="0" w:space="0" w:color="auto"/>
        <w:left w:val="none" w:sz="0" w:space="0" w:color="auto"/>
        <w:bottom w:val="none" w:sz="0" w:space="0" w:color="auto"/>
        <w:right w:val="none" w:sz="0" w:space="0" w:color="auto"/>
      </w:divBdr>
    </w:div>
    <w:div w:id="996612568">
      <w:bodyDiv w:val="1"/>
      <w:marLeft w:val="0"/>
      <w:marRight w:val="0"/>
      <w:marTop w:val="0"/>
      <w:marBottom w:val="0"/>
      <w:divBdr>
        <w:top w:val="none" w:sz="0" w:space="0" w:color="auto"/>
        <w:left w:val="none" w:sz="0" w:space="0" w:color="auto"/>
        <w:bottom w:val="none" w:sz="0" w:space="0" w:color="auto"/>
        <w:right w:val="none" w:sz="0" w:space="0" w:color="auto"/>
      </w:divBdr>
    </w:div>
    <w:div w:id="1052655274">
      <w:bodyDiv w:val="1"/>
      <w:marLeft w:val="0"/>
      <w:marRight w:val="0"/>
      <w:marTop w:val="0"/>
      <w:marBottom w:val="0"/>
      <w:divBdr>
        <w:top w:val="none" w:sz="0" w:space="0" w:color="auto"/>
        <w:left w:val="none" w:sz="0" w:space="0" w:color="auto"/>
        <w:bottom w:val="none" w:sz="0" w:space="0" w:color="auto"/>
        <w:right w:val="none" w:sz="0" w:space="0" w:color="auto"/>
      </w:divBdr>
    </w:div>
    <w:div w:id="1058553389">
      <w:bodyDiv w:val="1"/>
      <w:marLeft w:val="0"/>
      <w:marRight w:val="0"/>
      <w:marTop w:val="0"/>
      <w:marBottom w:val="0"/>
      <w:divBdr>
        <w:top w:val="none" w:sz="0" w:space="0" w:color="auto"/>
        <w:left w:val="none" w:sz="0" w:space="0" w:color="auto"/>
        <w:bottom w:val="none" w:sz="0" w:space="0" w:color="auto"/>
        <w:right w:val="none" w:sz="0" w:space="0" w:color="auto"/>
      </w:divBdr>
    </w:div>
    <w:div w:id="1091967102">
      <w:bodyDiv w:val="1"/>
      <w:marLeft w:val="0"/>
      <w:marRight w:val="0"/>
      <w:marTop w:val="0"/>
      <w:marBottom w:val="0"/>
      <w:divBdr>
        <w:top w:val="none" w:sz="0" w:space="0" w:color="auto"/>
        <w:left w:val="none" w:sz="0" w:space="0" w:color="auto"/>
        <w:bottom w:val="none" w:sz="0" w:space="0" w:color="auto"/>
        <w:right w:val="none" w:sz="0" w:space="0" w:color="auto"/>
      </w:divBdr>
    </w:div>
    <w:div w:id="1103571717">
      <w:bodyDiv w:val="1"/>
      <w:marLeft w:val="0"/>
      <w:marRight w:val="0"/>
      <w:marTop w:val="0"/>
      <w:marBottom w:val="0"/>
      <w:divBdr>
        <w:top w:val="none" w:sz="0" w:space="0" w:color="auto"/>
        <w:left w:val="none" w:sz="0" w:space="0" w:color="auto"/>
        <w:bottom w:val="none" w:sz="0" w:space="0" w:color="auto"/>
        <w:right w:val="none" w:sz="0" w:space="0" w:color="auto"/>
      </w:divBdr>
    </w:div>
    <w:div w:id="1112818439">
      <w:bodyDiv w:val="1"/>
      <w:marLeft w:val="0"/>
      <w:marRight w:val="0"/>
      <w:marTop w:val="0"/>
      <w:marBottom w:val="0"/>
      <w:divBdr>
        <w:top w:val="none" w:sz="0" w:space="0" w:color="auto"/>
        <w:left w:val="none" w:sz="0" w:space="0" w:color="auto"/>
        <w:bottom w:val="none" w:sz="0" w:space="0" w:color="auto"/>
        <w:right w:val="none" w:sz="0" w:space="0" w:color="auto"/>
      </w:divBdr>
    </w:div>
    <w:div w:id="1123042705">
      <w:bodyDiv w:val="1"/>
      <w:marLeft w:val="0"/>
      <w:marRight w:val="0"/>
      <w:marTop w:val="0"/>
      <w:marBottom w:val="0"/>
      <w:divBdr>
        <w:top w:val="none" w:sz="0" w:space="0" w:color="auto"/>
        <w:left w:val="none" w:sz="0" w:space="0" w:color="auto"/>
        <w:bottom w:val="none" w:sz="0" w:space="0" w:color="auto"/>
        <w:right w:val="none" w:sz="0" w:space="0" w:color="auto"/>
      </w:divBdr>
    </w:div>
    <w:div w:id="1130974333">
      <w:bodyDiv w:val="1"/>
      <w:marLeft w:val="0"/>
      <w:marRight w:val="0"/>
      <w:marTop w:val="0"/>
      <w:marBottom w:val="0"/>
      <w:divBdr>
        <w:top w:val="none" w:sz="0" w:space="0" w:color="auto"/>
        <w:left w:val="none" w:sz="0" w:space="0" w:color="auto"/>
        <w:bottom w:val="none" w:sz="0" w:space="0" w:color="auto"/>
        <w:right w:val="none" w:sz="0" w:space="0" w:color="auto"/>
      </w:divBdr>
    </w:div>
    <w:div w:id="1145968487">
      <w:bodyDiv w:val="1"/>
      <w:marLeft w:val="0"/>
      <w:marRight w:val="0"/>
      <w:marTop w:val="0"/>
      <w:marBottom w:val="0"/>
      <w:divBdr>
        <w:top w:val="none" w:sz="0" w:space="0" w:color="auto"/>
        <w:left w:val="none" w:sz="0" w:space="0" w:color="auto"/>
        <w:bottom w:val="none" w:sz="0" w:space="0" w:color="auto"/>
        <w:right w:val="none" w:sz="0" w:space="0" w:color="auto"/>
      </w:divBdr>
    </w:div>
    <w:div w:id="1160971515">
      <w:bodyDiv w:val="1"/>
      <w:marLeft w:val="0"/>
      <w:marRight w:val="0"/>
      <w:marTop w:val="0"/>
      <w:marBottom w:val="0"/>
      <w:divBdr>
        <w:top w:val="none" w:sz="0" w:space="0" w:color="auto"/>
        <w:left w:val="none" w:sz="0" w:space="0" w:color="auto"/>
        <w:bottom w:val="none" w:sz="0" w:space="0" w:color="auto"/>
        <w:right w:val="none" w:sz="0" w:space="0" w:color="auto"/>
      </w:divBdr>
    </w:div>
    <w:div w:id="1195923603">
      <w:bodyDiv w:val="1"/>
      <w:marLeft w:val="0"/>
      <w:marRight w:val="0"/>
      <w:marTop w:val="0"/>
      <w:marBottom w:val="0"/>
      <w:divBdr>
        <w:top w:val="none" w:sz="0" w:space="0" w:color="auto"/>
        <w:left w:val="none" w:sz="0" w:space="0" w:color="auto"/>
        <w:bottom w:val="none" w:sz="0" w:space="0" w:color="auto"/>
        <w:right w:val="none" w:sz="0" w:space="0" w:color="auto"/>
      </w:divBdr>
    </w:div>
    <w:div w:id="1214341956">
      <w:bodyDiv w:val="1"/>
      <w:marLeft w:val="0"/>
      <w:marRight w:val="0"/>
      <w:marTop w:val="0"/>
      <w:marBottom w:val="0"/>
      <w:divBdr>
        <w:top w:val="none" w:sz="0" w:space="0" w:color="auto"/>
        <w:left w:val="none" w:sz="0" w:space="0" w:color="auto"/>
        <w:bottom w:val="none" w:sz="0" w:space="0" w:color="auto"/>
        <w:right w:val="none" w:sz="0" w:space="0" w:color="auto"/>
      </w:divBdr>
    </w:div>
    <w:div w:id="1230767072">
      <w:bodyDiv w:val="1"/>
      <w:marLeft w:val="0"/>
      <w:marRight w:val="0"/>
      <w:marTop w:val="0"/>
      <w:marBottom w:val="0"/>
      <w:divBdr>
        <w:top w:val="none" w:sz="0" w:space="0" w:color="auto"/>
        <w:left w:val="none" w:sz="0" w:space="0" w:color="auto"/>
        <w:bottom w:val="none" w:sz="0" w:space="0" w:color="auto"/>
        <w:right w:val="none" w:sz="0" w:space="0" w:color="auto"/>
      </w:divBdr>
    </w:div>
    <w:div w:id="1281915935">
      <w:bodyDiv w:val="1"/>
      <w:marLeft w:val="0"/>
      <w:marRight w:val="0"/>
      <w:marTop w:val="0"/>
      <w:marBottom w:val="0"/>
      <w:divBdr>
        <w:top w:val="none" w:sz="0" w:space="0" w:color="auto"/>
        <w:left w:val="none" w:sz="0" w:space="0" w:color="auto"/>
        <w:bottom w:val="none" w:sz="0" w:space="0" w:color="auto"/>
        <w:right w:val="none" w:sz="0" w:space="0" w:color="auto"/>
      </w:divBdr>
    </w:div>
    <w:div w:id="1308509922">
      <w:bodyDiv w:val="1"/>
      <w:marLeft w:val="0"/>
      <w:marRight w:val="0"/>
      <w:marTop w:val="0"/>
      <w:marBottom w:val="0"/>
      <w:divBdr>
        <w:top w:val="none" w:sz="0" w:space="0" w:color="auto"/>
        <w:left w:val="none" w:sz="0" w:space="0" w:color="auto"/>
        <w:bottom w:val="none" w:sz="0" w:space="0" w:color="auto"/>
        <w:right w:val="none" w:sz="0" w:space="0" w:color="auto"/>
      </w:divBdr>
    </w:div>
    <w:div w:id="1328360230">
      <w:bodyDiv w:val="1"/>
      <w:marLeft w:val="0"/>
      <w:marRight w:val="0"/>
      <w:marTop w:val="0"/>
      <w:marBottom w:val="0"/>
      <w:divBdr>
        <w:top w:val="none" w:sz="0" w:space="0" w:color="auto"/>
        <w:left w:val="none" w:sz="0" w:space="0" w:color="auto"/>
        <w:bottom w:val="none" w:sz="0" w:space="0" w:color="auto"/>
        <w:right w:val="none" w:sz="0" w:space="0" w:color="auto"/>
      </w:divBdr>
    </w:div>
    <w:div w:id="1330063457">
      <w:bodyDiv w:val="1"/>
      <w:marLeft w:val="0"/>
      <w:marRight w:val="0"/>
      <w:marTop w:val="0"/>
      <w:marBottom w:val="0"/>
      <w:divBdr>
        <w:top w:val="none" w:sz="0" w:space="0" w:color="auto"/>
        <w:left w:val="none" w:sz="0" w:space="0" w:color="auto"/>
        <w:bottom w:val="none" w:sz="0" w:space="0" w:color="auto"/>
        <w:right w:val="none" w:sz="0" w:space="0" w:color="auto"/>
      </w:divBdr>
    </w:div>
    <w:div w:id="1343163477">
      <w:bodyDiv w:val="1"/>
      <w:marLeft w:val="0"/>
      <w:marRight w:val="0"/>
      <w:marTop w:val="0"/>
      <w:marBottom w:val="0"/>
      <w:divBdr>
        <w:top w:val="none" w:sz="0" w:space="0" w:color="auto"/>
        <w:left w:val="none" w:sz="0" w:space="0" w:color="auto"/>
        <w:bottom w:val="none" w:sz="0" w:space="0" w:color="auto"/>
        <w:right w:val="none" w:sz="0" w:space="0" w:color="auto"/>
      </w:divBdr>
    </w:div>
    <w:div w:id="1371228620">
      <w:bodyDiv w:val="1"/>
      <w:marLeft w:val="0"/>
      <w:marRight w:val="0"/>
      <w:marTop w:val="0"/>
      <w:marBottom w:val="0"/>
      <w:divBdr>
        <w:top w:val="none" w:sz="0" w:space="0" w:color="auto"/>
        <w:left w:val="none" w:sz="0" w:space="0" w:color="auto"/>
        <w:bottom w:val="none" w:sz="0" w:space="0" w:color="auto"/>
        <w:right w:val="none" w:sz="0" w:space="0" w:color="auto"/>
      </w:divBdr>
    </w:div>
    <w:div w:id="1386442953">
      <w:bodyDiv w:val="1"/>
      <w:marLeft w:val="0"/>
      <w:marRight w:val="0"/>
      <w:marTop w:val="0"/>
      <w:marBottom w:val="0"/>
      <w:divBdr>
        <w:top w:val="none" w:sz="0" w:space="0" w:color="auto"/>
        <w:left w:val="none" w:sz="0" w:space="0" w:color="auto"/>
        <w:bottom w:val="none" w:sz="0" w:space="0" w:color="auto"/>
        <w:right w:val="none" w:sz="0" w:space="0" w:color="auto"/>
      </w:divBdr>
    </w:div>
    <w:div w:id="1422868945">
      <w:bodyDiv w:val="1"/>
      <w:marLeft w:val="0"/>
      <w:marRight w:val="0"/>
      <w:marTop w:val="0"/>
      <w:marBottom w:val="0"/>
      <w:divBdr>
        <w:top w:val="none" w:sz="0" w:space="0" w:color="auto"/>
        <w:left w:val="none" w:sz="0" w:space="0" w:color="auto"/>
        <w:bottom w:val="none" w:sz="0" w:space="0" w:color="auto"/>
        <w:right w:val="none" w:sz="0" w:space="0" w:color="auto"/>
      </w:divBdr>
    </w:div>
    <w:div w:id="1458987080">
      <w:bodyDiv w:val="1"/>
      <w:marLeft w:val="0"/>
      <w:marRight w:val="0"/>
      <w:marTop w:val="0"/>
      <w:marBottom w:val="0"/>
      <w:divBdr>
        <w:top w:val="none" w:sz="0" w:space="0" w:color="auto"/>
        <w:left w:val="none" w:sz="0" w:space="0" w:color="auto"/>
        <w:bottom w:val="none" w:sz="0" w:space="0" w:color="auto"/>
        <w:right w:val="none" w:sz="0" w:space="0" w:color="auto"/>
      </w:divBdr>
    </w:div>
    <w:div w:id="1487280181">
      <w:bodyDiv w:val="1"/>
      <w:marLeft w:val="0"/>
      <w:marRight w:val="0"/>
      <w:marTop w:val="0"/>
      <w:marBottom w:val="0"/>
      <w:divBdr>
        <w:top w:val="none" w:sz="0" w:space="0" w:color="auto"/>
        <w:left w:val="none" w:sz="0" w:space="0" w:color="auto"/>
        <w:bottom w:val="none" w:sz="0" w:space="0" w:color="auto"/>
        <w:right w:val="none" w:sz="0" w:space="0" w:color="auto"/>
      </w:divBdr>
    </w:div>
    <w:div w:id="1524590518">
      <w:bodyDiv w:val="1"/>
      <w:marLeft w:val="0"/>
      <w:marRight w:val="0"/>
      <w:marTop w:val="0"/>
      <w:marBottom w:val="0"/>
      <w:divBdr>
        <w:top w:val="none" w:sz="0" w:space="0" w:color="auto"/>
        <w:left w:val="none" w:sz="0" w:space="0" w:color="auto"/>
        <w:bottom w:val="none" w:sz="0" w:space="0" w:color="auto"/>
        <w:right w:val="none" w:sz="0" w:space="0" w:color="auto"/>
      </w:divBdr>
    </w:div>
    <w:div w:id="1575311594">
      <w:bodyDiv w:val="1"/>
      <w:marLeft w:val="0"/>
      <w:marRight w:val="0"/>
      <w:marTop w:val="0"/>
      <w:marBottom w:val="0"/>
      <w:divBdr>
        <w:top w:val="none" w:sz="0" w:space="0" w:color="auto"/>
        <w:left w:val="none" w:sz="0" w:space="0" w:color="auto"/>
        <w:bottom w:val="none" w:sz="0" w:space="0" w:color="auto"/>
        <w:right w:val="none" w:sz="0" w:space="0" w:color="auto"/>
      </w:divBdr>
    </w:div>
    <w:div w:id="1694263532">
      <w:bodyDiv w:val="1"/>
      <w:marLeft w:val="0"/>
      <w:marRight w:val="0"/>
      <w:marTop w:val="0"/>
      <w:marBottom w:val="0"/>
      <w:divBdr>
        <w:top w:val="none" w:sz="0" w:space="0" w:color="auto"/>
        <w:left w:val="none" w:sz="0" w:space="0" w:color="auto"/>
        <w:bottom w:val="none" w:sz="0" w:space="0" w:color="auto"/>
        <w:right w:val="none" w:sz="0" w:space="0" w:color="auto"/>
      </w:divBdr>
    </w:div>
    <w:div w:id="1776705187">
      <w:bodyDiv w:val="1"/>
      <w:marLeft w:val="0"/>
      <w:marRight w:val="0"/>
      <w:marTop w:val="0"/>
      <w:marBottom w:val="0"/>
      <w:divBdr>
        <w:top w:val="none" w:sz="0" w:space="0" w:color="auto"/>
        <w:left w:val="none" w:sz="0" w:space="0" w:color="auto"/>
        <w:bottom w:val="none" w:sz="0" w:space="0" w:color="auto"/>
        <w:right w:val="none" w:sz="0" w:space="0" w:color="auto"/>
      </w:divBdr>
    </w:div>
    <w:div w:id="1776823684">
      <w:bodyDiv w:val="1"/>
      <w:marLeft w:val="0"/>
      <w:marRight w:val="0"/>
      <w:marTop w:val="0"/>
      <w:marBottom w:val="0"/>
      <w:divBdr>
        <w:top w:val="none" w:sz="0" w:space="0" w:color="auto"/>
        <w:left w:val="none" w:sz="0" w:space="0" w:color="auto"/>
        <w:bottom w:val="none" w:sz="0" w:space="0" w:color="auto"/>
        <w:right w:val="none" w:sz="0" w:space="0" w:color="auto"/>
      </w:divBdr>
    </w:div>
    <w:div w:id="1788430666">
      <w:bodyDiv w:val="1"/>
      <w:marLeft w:val="0"/>
      <w:marRight w:val="0"/>
      <w:marTop w:val="0"/>
      <w:marBottom w:val="0"/>
      <w:divBdr>
        <w:top w:val="none" w:sz="0" w:space="0" w:color="auto"/>
        <w:left w:val="none" w:sz="0" w:space="0" w:color="auto"/>
        <w:bottom w:val="none" w:sz="0" w:space="0" w:color="auto"/>
        <w:right w:val="none" w:sz="0" w:space="0" w:color="auto"/>
      </w:divBdr>
    </w:div>
    <w:div w:id="1799950432">
      <w:bodyDiv w:val="1"/>
      <w:marLeft w:val="0"/>
      <w:marRight w:val="0"/>
      <w:marTop w:val="0"/>
      <w:marBottom w:val="0"/>
      <w:divBdr>
        <w:top w:val="none" w:sz="0" w:space="0" w:color="auto"/>
        <w:left w:val="none" w:sz="0" w:space="0" w:color="auto"/>
        <w:bottom w:val="none" w:sz="0" w:space="0" w:color="auto"/>
        <w:right w:val="none" w:sz="0" w:space="0" w:color="auto"/>
      </w:divBdr>
    </w:div>
    <w:div w:id="1801727145">
      <w:bodyDiv w:val="1"/>
      <w:marLeft w:val="0"/>
      <w:marRight w:val="0"/>
      <w:marTop w:val="0"/>
      <w:marBottom w:val="0"/>
      <w:divBdr>
        <w:top w:val="none" w:sz="0" w:space="0" w:color="auto"/>
        <w:left w:val="none" w:sz="0" w:space="0" w:color="auto"/>
        <w:bottom w:val="none" w:sz="0" w:space="0" w:color="auto"/>
        <w:right w:val="none" w:sz="0" w:space="0" w:color="auto"/>
      </w:divBdr>
    </w:div>
    <w:div w:id="1820612075">
      <w:bodyDiv w:val="1"/>
      <w:marLeft w:val="0"/>
      <w:marRight w:val="0"/>
      <w:marTop w:val="0"/>
      <w:marBottom w:val="0"/>
      <w:divBdr>
        <w:top w:val="none" w:sz="0" w:space="0" w:color="auto"/>
        <w:left w:val="none" w:sz="0" w:space="0" w:color="auto"/>
        <w:bottom w:val="none" w:sz="0" w:space="0" w:color="auto"/>
        <w:right w:val="none" w:sz="0" w:space="0" w:color="auto"/>
      </w:divBdr>
    </w:div>
    <w:div w:id="1933857645">
      <w:bodyDiv w:val="1"/>
      <w:marLeft w:val="0"/>
      <w:marRight w:val="0"/>
      <w:marTop w:val="0"/>
      <w:marBottom w:val="0"/>
      <w:divBdr>
        <w:top w:val="none" w:sz="0" w:space="0" w:color="auto"/>
        <w:left w:val="none" w:sz="0" w:space="0" w:color="auto"/>
        <w:bottom w:val="none" w:sz="0" w:space="0" w:color="auto"/>
        <w:right w:val="none" w:sz="0" w:space="0" w:color="auto"/>
      </w:divBdr>
    </w:div>
    <w:div w:id="1960410589">
      <w:bodyDiv w:val="1"/>
      <w:marLeft w:val="0"/>
      <w:marRight w:val="0"/>
      <w:marTop w:val="0"/>
      <w:marBottom w:val="0"/>
      <w:divBdr>
        <w:top w:val="none" w:sz="0" w:space="0" w:color="auto"/>
        <w:left w:val="none" w:sz="0" w:space="0" w:color="auto"/>
        <w:bottom w:val="none" w:sz="0" w:space="0" w:color="auto"/>
        <w:right w:val="none" w:sz="0" w:space="0" w:color="auto"/>
      </w:divBdr>
    </w:div>
    <w:div w:id="1983341239">
      <w:bodyDiv w:val="1"/>
      <w:marLeft w:val="0"/>
      <w:marRight w:val="0"/>
      <w:marTop w:val="0"/>
      <w:marBottom w:val="0"/>
      <w:divBdr>
        <w:top w:val="none" w:sz="0" w:space="0" w:color="auto"/>
        <w:left w:val="none" w:sz="0" w:space="0" w:color="auto"/>
        <w:bottom w:val="none" w:sz="0" w:space="0" w:color="auto"/>
        <w:right w:val="none" w:sz="0" w:space="0" w:color="auto"/>
      </w:divBdr>
    </w:div>
    <w:div w:id="2019388030">
      <w:bodyDiv w:val="1"/>
      <w:marLeft w:val="0"/>
      <w:marRight w:val="0"/>
      <w:marTop w:val="0"/>
      <w:marBottom w:val="0"/>
      <w:divBdr>
        <w:top w:val="none" w:sz="0" w:space="0" w:color="auto"/>
        <w:left w:val="none" w:sz="0" w:space="0" w:color="auto"/>
        <w:bottom w:val="none" w:sz="0" w:space="0" w:color="auto"/>
        <w:right w:val="none" w:sz="0" w:space="0" w:color="auto"/>
      </w:divBdr>
    </w:div>
    <w:div w:id="2043968282">
      <w:bodyDiv w:val="1"/>
      <w:marLeft w:val="0"/>
      <w:marRight w:val="0"/>
      <w:marTop w:val="0"/>
      <w:marBottom w:val="0"/>
      <w:divBdr>
        <w:top w:val="none" w:sz="0" w:space="0" w:color="auto"/>
        <w:left w:val="none" w:sz="0" w:space="0" w:color="auto"/>
        <w:bottom w:val="none" w:sz="0" w:space="0" w:color="auto"/>
        <w:right w:val="none" w:sz="0" w:space="0" w:color="auto"/>
      </w:divBdr>
    </w:div>
    <w:div w:id="210260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header" Target="header2.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Personalizado 1">
      <a:dk1>
        <a:srgbClr val="717073"/>
      </a:dk1>
      <a:lt1>
        <a:srgbClr val="007DB1"/>
      </a:lt1>
      <a:dk2>
        <a:srgbClr val="004F5A"/>
      </a:dk2>
      <a:lt2>
        <a:srgbClr val="007B85"/>
      </a:lt2>
      <a:accent1>
        <a:srgbClr val="00AEC5"/>
      </a:accent1>
      <a:accent2>
        <a:srgbClr val="2CAFA4"/>
      </a:accent2>
      <a:accent3>
        <a:srgbClr val="00AF85"/>
      </a:accent3>
      <a:accent4>
        <a:srgbClr val="6CB33F"/>
      </a:accent4>
      <a:accent5>
        <a:srgbClr val="D5D10E"/>
      </a:accent5>
      <a:accent6>
        <a:srgbClr val="F68A34"/>
      </a:accent6>
      <a:hlink>
        <a:srgbClr val="F68A33"/>
      </a:hlink>
      <a:folHlink>
        <a:srgbClr val="F15E2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22EB8851-A2D3-4D6A-AA4B-EAE60168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21</Pages>
  <Words>4965</Words>
  <Characters>27312</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Itziar.Aranguiz</dc:creator>
  <cp:lastModifiedBy>Victor Monsalve Solar</cp:lastModifiedBy>
  <cp:revision>21</cp:revision>
  <cp:lastPrinted>2019-04-05T12:50:00Z</cp:lastPrinted>
  <dcterms:created xsi:type="dcterms:W3CDTF">2020-03-03T14:05:00Z</dcterms:created>
  <dcterms:modified xsi:type="dcterms:W3CDTF">2020-03-06T11:47:00Z</dcterms:modified>
</cp:coreProperties>
</file>